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7" w:rightChars="-27"/>
        <w:jc w:val="center"/>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梧州市科学技术协会2020年</w:t>
      </w:r>
    </w:p>
    <w:p>
      <w:pPr>
        <w:widowControl/>
        <w:shd w:val="clear" w:color="auto" w:fill="FFFFFF"/>
        <w:spacing w:line="420" w:lineRule="atLeast"/>
        <w:ind w:right="-57" w:rightChars="-27"/>
        <w:jc w:val="center"/>
        <w:outlineLvl w:val="1"/>
        <w:rPr>
          <w:rFonts w:ascii="黑体" w:hAnsi="宋体" w:eastAsia="黑体" w:cs="宋体"/>
          <w:b/>
          <w:bCs/>
          <w:color w:val="333333"/>
          <w:kern w:val="0"/>
          <w:sz w:val="36"/>
          <w:szCs w:val="36"/>
        </w:rPr>
      </w:pPr>
      <w:r>
        <w:rPr>
          <w:rFonts w:hint="eastAsia" w:ascii="黑体" w:hAnsi="宋体" w:eastAsia="黑体" w:cs="宋体"/>
          <w:b/>
          <w:bCs/>
          <w:color w:val="333333"/>
          <w:kern w:val="0"/>
          <w:sz w:val="36"/>
          <w:szCs w:val="36"/>
        </w:rPr>
        <w:t>部门预算及“三公”经费预算</w:t>
      </w:r>
    </w:p>
    <w:p>
      <w:pPr>
        <w:widowControl/>
        <w:shd w:val="clear" w:color="auto" w:fill="FFFFFF"/>
        <w:spacing w:line="525" w:lineRule="atLeast"/>
        <w:ind w:right="-57" w:rightChars="-27"/>
        <w:jc w:val="center"/>
        <w:rPr>
          <w:rFonts w:ascii="黑体" w:hAnsi="仿宋" w:eastAsia="黑体" w:cs="宋体"/>
          <w:b/>
          <w:bCs/>
          <w:color w:val="333333"/>
          <w:kern w:val="0"/>
          <w:sz w:val="36"/>
          <w:szCs w:val="36"/>
        </w:rPr>
      </w:pPr>
    </w:p>
    <w:p>
      <w:pPr>
        <w:widowControl/>
        <w:shd w:val="clear" w:color="auto" w:fill="FFFFFF"/>
        <w:spacing w:line="525" w:lineRule="atLeast"/>
        <w:ind w:right="-57" w:rightChars="-27"/>
        <w:jc w:val="center"/>
        <w:rPr>
          <w:rFonts w:ascii="黑体" w:hAnsi="宋体" w:eastAsia="黑体" w:cs="宋体"/>
          <w:color w:val="333333"/>
          <w:kern w:val="0"/>
          <w:sz w:val="36"/>
          <w:szCs w:val="36"/>
        </w:rPr>
      </w:pPr>
      <w:r>
        <w:rPr>
          <w:rFonts w:hint="eastAsia" w:ascii="黑体" w:hAnsi="仿宋" w:eastAsia="黑体" w:cs="宋体"/>
          <w:b/>
          <w:bCs/>
          <w:color w:val="333333"/>
          <w:kern w:val="0"/>
          <w:sz w:val="36"/>
          <w:szCs w:val="36"/>
        </w:rPr>
        <w:t>目</w:t>
      </w:r>
      <w:r>
        <w:rPr>
          <w:rFonts w:hint="eastAsia" w:ascii="宋体" w:hAnsi="宋体" w:eastAsia="黑体" w:cs="宋体"/>
          <w:b/>
          <w:bCs/>
          <w:color w:val="333333"/>
          <w:kern w:val="0"/>
          <w:sz w:val="36"/>
          <w:szCs w:val="36"/>
        </w:rPr>
        <w:t>   </w:t>
      </w:r>
      <w:r>
        <w:rPr>
          <w:rFonts w:hint="eastAsia" w:ascii="黑体" w:hAnsi="仿宋" w:eastAsia="黑体" w:cs="宋体"/>
          <w:b/>
          <w:bCs/>
          <w:color w:val="333333"/>
          <w:kern w:val="0"/>
          <w:sz w:val="36"/>
          <w:szCs w:val="36"/>
        </w:rPr>
        <w:t>录：</w:t>
      </w:r>
    </w:p>
    <w:p>
      <w:pPr>
        <w:widowControl/>
        <w:shd w:val="clear" w:color="auto" w:fill="FFFFFF"/>
        <w:spacing w:line="525" w:lineRule="atLeast"/>
        <w:ind w:right="-57" w:rightChars="-27"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widowControl/>
        <w:shd w:val="clear" w:color="auto" w:fill="FFFFFF"/>
        <w:spacing w:line="525" w:lineRule="atLeast"/>
        <w:ind w:right="-57" w:rightChars="-27"/>
        <w:rPr>
          <w:rFonts w:ascii="仿宋_GB2312" w:hAnsi="宋体" w:eastAsia="仿宋_GB2312" w:cs="宋体"/>
          <w:color w:val="333333"/>
          <w:kern w:val="0"/>
          <w:sz w:val="32"/>
          <w:szCs w:val="32"/>
        </w:rPr>
      </w:pPr>
      <w:r>
        <w:rPr>
          <w:rFonts w:hint="eastAsia" w:ascii="仿宋_GB2312" w:hAnsi="仿宋" w:eastAsia="仿宋_GB2312" w:cs="宋体"/>
          <w:color w:val="000000"/>
          <w:kern w:val="0"/>
          <w:sz w:val="32"/>
          <w:szCs w:val="32"/>
        </w:rPr>
        <w:t xml:space="preserve">    一、基本情况（列举部门主要职能）</w:t>
      </w:r>
    </w:p>
    <w:p>
      <w:pPr>
        <w:widowControl/>
        <w:shd w:val="clear" w:color="auto" w:fill="FFFFFF"/>
        <w:spacing w:line="525" w:lineRule="atLeast"/>
        <w:ind w:left="424" w:leftChars="1" w:right="-57" w:rightChars="-27" w:hanging="422" w:hangingChars="1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二、机构设置、编制现状情况（包含基层预算单位组成、单位性质）</w:t>
      </w:r>
    </w:p>
    <w:p>
      <w:pPr>
        <w:ind w:right="-57" w:rightChars="-27" w:firstLine="64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三、人员构成情况（包含基层预算单位人员构成、经费管理方式）</w:t>
      </w:r>
    </w:p>
    <w:p>
      <w:pPr>
        <w:ind w:right="-57" w:rightChars="-27" w:firstLine="640"/>
        <w:rPr>
          <w:rFonts w:ascii="仿宋_GB2312" w:hAnsi="仿宋" w:eastAsia="仿宋_GB2312" w:cs="宋体"/>
          <w:color w:val="000000"/>
          <w:kern w:val="0"/>
          <w:sz w:val="32"/>
          <w:szCs w:val="32"/>
        </w:rPr>
      </w:pPr>
      <w:r>
        <w:rPr>
          <w:rFonts w:hint="eastAsia" w:ascii="黑体" w:hAnsi="仿宋" w:eastAsia="黑体" w:cs="宋体"/>
          <w:b/>
          <w:bCs/>
          <w:color w:val="333333"/>
          <w:kern w:val="0"/>
          <w:sz w:val="32"/>
        </w:rPr>
        <w:t>第二部分： 2020年部门预算报表（详见附件）</w:t>
      </w:r>
    </w:p>
    <w:p>
      <w:pPr>
        <w:spacing w:line="500" w:lineRule="exact"/>
        <w:ind w:left="708" w:leftChars="337" w:right="-57" w:rightChars="-27"/>
        <w:rPr>
          <w:rFonts w:ascii="仿宋_GB2312" w:hAnsi="Arial" w:eastAsia="仿宋_GB2312" w:cs="Arial"/>
          <w:sz w:val="32"/>
          <w:szCs w:val="32"/>
        </w:rPr>
      </w:pPr>
      <w:r>
        <w:rPr>
          <w:rFonts w:hint="eastAsia" w:ascii="仿宋_GB2312" w:hAnsi="Arial" w:eastAsia="仿宋_GB2312" w:cs="Arial"/>
          <w:sz w:val="32"/>
          <w:szCs w:val="32"/>
        </w:rPr>
        <w:t>1．部门收支总表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2．部门收入总表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3．部门支出总表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4．财政拨款收支总表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5．一般公共预算支出表（按功能科目分类）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6．一般公共预算支出表（按部门经济科目分类）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7．一般公共预算支出表(按政府经济科目分类）</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8．一般公共预算基本支出表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9．政府性基金预算支出表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10．“三公”经费支出表</w:t>
      </w:r>
    </w:p>
    <w:p>
      <w:pPr>
        <w:spacing w:line="500" w:lineRule="exact"/>
        <w:ind w:left="991" w:leftChars="338" w:right="-57" w:rightChars="-27" w:hanging="281" w:hangingChars="88"/>
        <w:rPr>
          <w:rFonts w:ascii="仿宋_GB2312" w:hAnsi="Arial" w:eastAsia="仿宋_GB2312" w:cs="Arial"/>
          <w:sz w:val="32"/>
          <w:szCs w:val="32"/>
        </w:rPr>
      </w:pPr>
      <w:r>
        <w:rPr>
          <w:rFonts w:hint="eastAsia" w:ascii="仿宋_GB2312" w:hAnsi="Arial" w:eastAsia="仿宋_GB2312" w:cs="Arial"/>
          <w:sz w:val="32"/>
          <w:szCs w:val="32"/>
        </w:rPr>
        <w:t>11．国有资本经营预算支出情况表</w:t>
      </w:r>
    </w:p>
    <w:p>
      <w:pPr>
        <w:widowControl/>
        <w:shd w:val="clear" w:color="auto" w:fill="FFFFFF"/>
        <w:spacing w:line="525" w:lineRule="atLeast"/>
        <w:ind w:left="1"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第三部分：2020年部门预算情况说明</w:t>
      </w:r>
    </w:p>
    <w:p>
      <w:pPr>
        <w:widowControl/>
        <w:shd w:val="clear" w:color="auto" w:fill="FFFFFF"/>
        <w:spacing w:line="525" w:lineRule="atLeast"/>
        <w:ind w:left="1" w:right="-57" w:rightChars="-27" w:firstLine="640" w:firstLineChars="200"/>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一、2020年</w:t>
      </w:r>
      <w:r>
        <w:rPr>
          <w:rFonts w:hint="eastAsia" w:ascii="仿宋_GB2312" w:hAnsi="黑体" w:eastAsia="仿宋_GB2312" w:cs="Times New Roman"/>
          <w:color w:val="333333"/>
          <w:kern w:val="0"/>
          <w:sz w:val="32"/>
          <w:szCs w:val="32"/>
        </w:rPr>
        <w:t>部门</w:t>
      </w:r>
      <w:r>
        <w:rPr>
          <w:rFonts w:hint="eastAsia" w:ascii="仿宋_GB2312" w:hAnsi="仿宋" w:eastAsia="仿宋_GB2312" w:cs="宋体"/>
          <w:color w:val="000000"/>
          <w:kern w:val="0"/>
          <w:sz w:val="32"/>
          <w:szCs w:val="32"/>
        </w:rPr>
        <w:t>收支总体预算情况。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二、2020年部门财政拨款收支预算情况。</w:t>
      </w:r>
    </w:p>
    <w:p>
      <w:pPr>
        <w:spacing w:line="500" w:lineRule="exact"/>
        <w:ind w:right="-57" w:rightChars="-27" w:firstLine="480" w:firstLineChars="15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 三、2020年政府性基金预算支出预算情况</w:t>
      </w:r>
    </w:p>
    <w:p>
      <w:pPr>
        <w:widowControl/>
        <w:shd w:val="clear" w:color="auto" w:fill="FFFFFF"/>
        <w:spacing w:line="525" w:lineRule="atLeast"/>
        <w:ind w:right="-57" w:rightChars="-27" w:firstLine="480" w:firstLineChars="150"/>
        <w:rPr>
          <w:rFonts w:ascii="仿宋_GB2312" w:hAnsi="宋体" w:eastAsia="仿宋_GB2312" w:cs="宋体"/>
          <w:color w:val="333333"/>
          <w:kern w:val="0"/>
          <w:szCs w:val="21"/>
        </w:rPr>
      </w:pPr>
      <w:r>
        <w:rPr>
          <w:rFonts w:hint="eastAsia" w:ascii="仿宋_GB2312" w:hAnsi="仿宋" w:eastAsia="仿宋_GB2312" w:cs="宋体"/>
          <w:color w:val="000000"/>
          <w:kern w:val="0"/>
          <w:sz w:val="32"/>
          <w:szCs w:val="32"/>
        </w:rPr>
        <w:t xml:space="preserve"> 四、2020年部门预算安排的“三公”经费预算情况。</w:t>
      </w:r>
    </w:p>
    <w:p>
      <w:pPr>
        <w:widowControl/>
        <w:shd w:val="clear" w:color="auto" w:fill="FFFFFF"/>
        <w:spacing w:line="525" w:lineRule="atLeast"/>
        <w:ind w:right="-57" w:rightChars="-27"/>
        <w:rPr>
          <w:rFonts w:ascii="仿宋_GB2312" w:hAnsi="仿宋" w:eastAsia="仿宋_GB2312" w:cs="宋体"/>
          <w:color w:val="333333"/>
          <w:kern w:val="0"/>
          <w:sz w:val="32"/>
          <w:szCs w:val="32"/>
        </w:rPr>
      </w:pPr>
      <w:r>
        <w:rPr>
          <w:rFonts w:hint="eastAsia" w:ascii="仿宋_GB2312" w:hAnsi="仿宋" w:eastAsia="仿宋_GB2312" w:cs="宋体"/>
          <w:color w:val="000000"/>
          <w:kern w:val="0"/>
          <w:sz w:val="32"/>
          <w:szCs w:val="32"/>
        </w:rPr>
        <w:t xml:space="preserve">    五</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333333"/>
          <w:kern w:val="0"/>
          <w:sz w:val="32"/>
          <w:szCs w:val="32"/>
        </w:rPr>
        <w:t>其</w:t>
      </w:r>
      <w:r>
        <w:rPr>
          <w:rFonts w:hint="eastAsia" w:ascii="仿宋_GB2312" w:hAnsi="仿宋" w:eastAsia="仿宋_GB2312" w:cs="宋体"/>
          <w:color w:val="000000"/>
          <w:kern w:val="0"/>
          <w:sz w:val="32"/>
          <w:szCs w:val="32"/>
        </w:rPr>
        <w:t>他情况说明。</w:t>
      </w:r>
    </w:p>
    <w:p>
      <w:pPr>
        <w:widowControl/>
        <w:shd w:val="clear" w:color="auto" w:fill="FFFFFF"/>
        <w:spacing w:line="525" w:lineRule="atLeast"/>
        <w:ind w:right="-57" w:rightChars="-27" w:firstLine="643" w:firstLineChars="200"/>
        <w:rPr>
          <w:rFonts w:ascii="黑体" w:hAnsi="仿宋" w:eastAsia="黑体" w:cs="宋体"/>
          <w:b/>
          <w:color w:val="333333"/>
          <w:kern w:val="0"/>
          <w:sz w:val="32"/>
          <w:szCs w:val="32"/>
        </w:rPr>
      </w:pPr>
      <w:r>
        <w:rPr>
          <w:rFonts w:hint="eastAsia" w:ascii="黑体" w:hAnsi="仿宋" w:eastAsia="黑体" w:cs="宋体"/>
          <w:b/>
          <w:bCs/>
          <w:color w:val="333333"/>
          <w:kern w:val="0"/>
          <w:sz w:val="32"/>
        </w:rPr>
        <w:t>第四部分：专业名词解释</w:t>
      </w: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firstLine="800" w:firstLineChars="250"/>
        <w:rPr>
          <w:rFonts w:ascii="仿宋" w:hAnsi="仿宋" w:eastAsia="仿宋" w:cs="宋体"/>
          <w:color w:val="333333"/>
          <w:kern w:val="0"/>
          <w:sz w:val="32"/>
          <w:szCs w:val="32"/>
        </w:rPr>
      </w:pPr>
    </w:p>
    <w:p>
      <w:pPr>
        <w:widowControl/>
        <w:shd w:val="clear" w:color="auto" w:fill="FFFFFF"/>
        <w:spacing w:line="525" w:lineRule="atLeast"/>
        <w:ind w:right="-57" w:rightChars="-27"/>
        <w:rPr>
          <w:rFonts w:ascii="仿宋" w:hAnsi="仿宋" w:eastAsia="仿宋" w:cs="宋体"/>
          <w:color w:val="333333"/>
          <w:kern w:val="0"/>
          <w:sz w:val="32"/>
          <w:szCs w:val="32"/>
        </w:rPr>
      </w:pPr>
    </w:p>
    <w:p>
      <w:pPr>
        <w:widowControl/>
        <w:shd w:val="clear" w:color="auto" w:fill="FFFFFF"/>
        <w:spacing w:line="525" w:lineRule="atLeast"/>
        <w:ind w:right="-57" w:rightChars="-27" w:firstLine="643" w:firstLineChars="200"/>
        <w:rPr>
          <w:rFonts w:ascii="黑体" w:hAnsi="宋体" w:eastAsia="黑体" w:cs="宋体"/>
          <w:color w:val="333333"/>
          <w:kern w:val="0"/>
          <w:sz w:val="32"/>
          <w:szCs w:val="32"/>
        </w:rPr>
      </w:pPr>
      <w:r>
        <w:rPr>
          <w:rFonts w:hint="eastAsia" w:ascii="黑体" w:hAnsi="仿宋" w:eastAsia="黑体" w:cs="宋体"/>
          <w:b/>
          <w:bCs/>
          <w:color w:val="333333"/>
          <w:kern w:val="0"/>
          <w:sz w:val="32"/>
          <w:szCs w:val="32"/>
        </w:rPr>
        <w:t>第一部分：部门概况</w:t>
      </w:r>
    </w:p>
    <w:p>
      <w:pPr>
        <w:widowControl/>
        <w:numPr>
          <w:ilvl w:val="0"/>
          <w:numId w:val="1"/>
        </w:numPr>
        <w:spacing w:before="100" w:beforeAutospacing="1" w:after="100" w:afterAutospacing="1"/>
        <w:ind w:firstLine="640"/>
        <w:jc w:val="left"/>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基本情况（列举部门主要职能）</w:t>
      </w:r>
    </w:p>
    <w:p>
      <w:pPr>
        <w:pStyle w:val="7"/>
        <w:widowControl/>
        <w:adjustRightInd w:val="0"/>
        <w:snapToGrid w:val="0"/>
        <w:spacing w:line="52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（一）</w:t>
      </w:r>
      <w:r>
        <w:rPr>
          <w:rFonts w:hint="eastAsia" w:ascii="仿宋_GB2312" w:hAnsi="仿宋_GB2312" w:eastAsia="仿宋_GB2312" w:cs="仿宋_GB2312"/>
          <w:sz w:val="32"/>
          <w:szCs w:val="32"/>
        </w:rPr>
        <w:t>开展学术交流，活跃学术思想，促进学科发展，促进科学道德建设和学风建设。</w:t>
      </w:r>
    </w:p>
    <w:p>
      <w:pPr>
        <w:pStyle w:val="7"/>
        <w:widowControl/>
        <w:adjustRightInd w:val="0"/>
        <w:snapToGrid w:val="0"/>
        <w:spacing w:line="520" w:lineRule="exact"/>
        <w:ind w:firstLine="645"/>
        <w:rPr>
          <w:rFonts w:ascii="仿宋_GB2312" w:hAnsi="仿宋_GB2312" w:eastAsia="仿宋_GB2312" w:cs="仿宋_GB2312"/>
          <w:sz w:val="32"/>
          <w:szCs w:val="32"/>
        </w:rPr>
      </w:pPr>
      <w:r>
        <w:rPr>
          <w:rFonts w:hint="eastAsia" w:ascii="楷体_GB2312" w:hAnsi="仿宋_GB2312" w:eastAsia="楷体_GB2312" w:cs="仿宋_GB2312"/>
          <w:b/>
          <w:sz w:val="32"/>
          <w:szCs w:val="32"/>
        </w:rPr>
        <w:t>（二）</w:t>
      </w:r>
      <w:r>
        <w:rPr>
          <w:rFonts w:hint="eastAsia" w:ascii="仿宋_GB2312" w:hAnsi="仿宋_GB2312" w:eastAsia="仿宋_GB2312" w:cs="仿宋_GB2312"/>
          <w:sz w:val="32"/>
          <w:szCs w:val="32"/>
        </w:rPr>
        <w:t>弘扬科学精神，普及科学知识，传播科学思想和科学方法，捍卫科学尊严，推广先进技术，开展青少年科技教育活动，提高全民科学素质。</w:t>
      </w:r>
    </w:p>
    <w:p>
      <w:pPr>
        <w:pStyle w:val="7"/>
        <w:widowControl/>
        <w:adjustRightInd w:val="0"/>
        <w:snapToGrid w:val="0"/>
        <w:spacing w:line="520" w:lineRule="exact"/>
        <w:ind w:firstLine="645"/>
        <w:rPr>
          <w:rFonts w:ascii="仿宋_GB2312" w:hAnsi="仿宋_GB2312" w:eastAsia="仿宋_GB2312" w:cs="仿宋_GB2312"/>
          <w:sz w:val="32"/>
          <w:szCs w:val="32"/>
        </w:rPr>
      </w:pPr>
      <w:r>
        <w:rPr>
          <w:rFonts w:hint="eastAsia" w:ascii="楷体_GB2312" w:hAnsi="仿宋_GB2312" w:eastAsia="楷体_GB2312" w:cs="仿宋_GB2312"/>
          <w:b/>
          <w:sz w:val="32"/>
          <w:szCs w:val="32"/>
        </w:rPr>
        <w:t>（三）</w:t>
      </w:r>
      <w:r>
        <w:rPr>
          <w:rFonts w:hint="eastAsia" w:ascii="仿宋_GB2312" w:hAnsi="仿宋_GB2312" w:eastAsia="仿宋_GB2312" w:cs="仿宋_GB2312"/>
          <w:sz w:val="32"/>
          <w:szCs w:val="32"/>
        </w:rPr>
        <w:t>密切联系科技工作者，宣传党的路线方针政策，反映科技工作者的建议、意见和诉求，维护科学技术工作者的合法权益，建设科技工作者之家。</w:t>
      </w:r>
    </w:p>
    <w:p>
      <w:pPr>
        <w:pStyle w:val="7"/>
        <w:widowControl/>
        <w:adjustRightInd w:val="0"/>
        <w:snapToGrid w:val="0"/>
        <w:spacing w:line="52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（四）</w:t>
      </w:r>
      <w:r>
        <w:rPr>
          <w:rFonts w:hint="eastAsia" w:ascii="仿宋_GB2312" w:hAnsi="仿宋_GB2312" w:eastAsia="仿宋_GB2312" w:cs="仿宋_GB2312"/>
          <w:sz w:val="32"/>
          <w:szCs w:val="32"/>
        </w:rPr>
        <w:t>注重激发青少年科技兴趣，发现培养优秀青年科学人才和创新团队，表扬奖励优秀科技工作者，举荐科学技术人才。</w:t>
      </w:r>
    </w:p>
    <w:p>
      <w:pPr>
        <w:pStyle w:val="7"/>
        <w:adjustRightInd w:val="0"/>
        <w:snapToGrid w:val="0"/>
        <w:spacing w:line="520" w:lineRule="exact"/>
        <w:ind w:firstLine="645"/>
        <w:rPr>
          <w:rFonts w:ascii="仿宋_GB2312" w:hAnsi="仿宋_GB2312" w:eastAsia="仿宋_GB2312" w:cs="仿宋_GB2312"/>
          <w:sz w:val="32"/>
          <w:szCs w:val="32"/>
        </w:rPr>
      </w:pPr>
      <w:r>
        <w:rPr>
          <w:rFonts w:hint="eastAsia" w:ascii="楷体_GB2312" w:hAnsi="仿宋_GB2312" w:eastAsia="楷体_GB2312" w:cs="仿宋_GB2312"/>
          <w:b/>
          <w:sz w:val="32"/>
          <w:szCs w:val="32"/>
        </w:rPr>
        <w:t>（五）</w:t>
      </w:r>
      <w:r>
        <w:rPr>
          <w:rFonts w:hint="eastAsia" w:ascii="仿宋_GB2312" w:hAnsi="仿宋_GB2312" w:eastAsia="仿宋_GB2312" w:cs="仿宋_GB2312"/>
          <w:sz w:val="32"/>
          <w:szCs w:val="32"/>
        </w:rPr>
        <w:t>组织科学技术工作者参与国家、自治区科技战略、规划、布局、政策、法律法规的咨询制定和国家、自治区事务的政治协商、科学决策、民主监督工作，建设梧州科技创新智库。</w:t>
      </w:r>
    </w:p>
    <w:p>
      <w:pPr>
        <w:pStyle w:val="7"/>
        <w:adjustRightInd w:val="0"/>
        <w:snapToGrid w:val="0"/>
        <w:spacing w:line="520" w:lineRule="exact"/>
        <w:ind w:firstLine="640"/>
        <w:rPr>
          <w:rFonts w:ascii="仿宋_GB2312" w:hAnsi="仿宋_GB2312" w:eastAsia="仿宋_GB2312" w:cs="仿宋_GB2312"/>
          <w:color w:val="4D4D4D"/>
          <w:sz w:val="32"/>
          <w:szCs w:val="32"/>
          <w:shd w:val="clear" w:color="auto" w:fill="FFFFFF"/>
        </w:rPr>
      </w:pPr>
      <w:r>
        <w:rPr>
          <w:rFonts w:hint="eastAsia" w:ascii="楷体_GB2312" w:hAnsi="仿宋_GB2312" w:eastAsia="楷体_GB2312" w:cs="仿宋_GB2312"/>
          <w:b/>
          <w:sz w:val="32"/>
          <w:szCs w:val="32"/>
        </w:rPr>
        <w:t>（六）</w:t>
      </w:r>
      <w:r>
        <w:rPr>
          <w:rFonts w:hint="eastAsia" w:ascii="仿宋_GB2312" w:hAnsi="仿宋_GB2312" w:eastAsia="仿宋_GB2312" w:cs="仿宋_GB2312"/>
          <w:sz w:val="32"/>
          <w:szCs w:val="32"/>
        </w:rPr>
        <w:t>开展继续教育和培训工作。组织科学技术工作者开展科技创新，参与科学论证和咨询服务，加快科学技术成果转化应用，助理创新发展，为增强企业自主创新能力作贡献。</w:t>
      </w:r>
    </w:p>
    <w:p>
      <w:pPr>
        <w:pStyle w:val="7"/>
        <w:widowControl/>
        <w:adjustRightInd w:val="0"/>
        <w:snapToGrid w:val="0"/>
        <w:spacing w:line="520" w:lineRule="exact"/>
        <w:ind w:firstLine="640"/>
        <w:rPr>
          <w:rFonts w:ascii="仿宋_GB2312" w:hAnsi="仿宋_GB2312" w:eastAsia="仿宋_GB2312" w:cs="仿宋_GB2312"/>
          <w:sz w:val="32"/>
          <w:szCs w:val="32"/>
        </w:rPr>
      </w:pPr>
      <w:r>
        <w:rPr>
          <w:rFonts w:hint="eastAsia" w:ascii="楷体_GB2312" w:hAnsi="仿宋_GB2312" w:eastAsia="楷体_GB2312" w:cs="仿宋_GB2312"/>
          <w:b/>
          <w:sz w:val="32"/>
          <w:szCs w:val="32"/>
        </w:rPr>
        <w:t>（七）</w:t>
      </w:r>
      <w:r>
        <w:rPr>
          <w:rFonts w:hint="eastAsia" w:ascii="仿宋_GB2312" w:hAnsi="仿宋_GB2312" w:eastAsia="仿宋_GB2312" w:cs="仿宋_GB2312"/>
          <w:sz w:val="32"/>
          <w:szCs w:val="32"/>
        </w:rPr>
        <w:t>组织所属学会有序承接科技评估、工程技术领域职业资格认定、技术标准研制、国家和自治区科技奖励推荐等政府委托工作或转移职能。</w:t>
      </w:r>
    </w:p>
    <w:p>
      <w:pPr>
        <w:pStyle w:val="7"/>
        <w:widowControl/>
        <w:adjustRightInd w:val="0"/>
        <w:snapToGrid w:val="0"/>
        <w:spacing w:line="520" w:lineRule="exact"/>
        <w:ind w:firstLine="640"/>
        <w:rPr>
          <w:rFonts w:ascii="仿宋_GB2312" w:hAnsi="仿宋_GB2312" w:eastAsia="仿宋_GB2312" w:cs="仿宋_GB2312"/>
          <w:sz w:val="32"/>
          <w:szCs w:val="32"/>
        </w:rPr>
      </w:pPr>
      <w:r>
        <w:rPr>
          <w:rFonts w:hint="eastAsia" w:ascii="楷体_GB2312" w:hAnsi="仿宋_GB2312" w:eastAsia="楷体_GB2312" w:cs="仿宋_GB2312"/>
          <w:b/>
          <w:sz w:val="32"/>
          <w:szCs w:val="32"/>
        </w:rPr>
        <w:t>（八）</w:t>
      </w:r>
      <w:r>
        <w:rPr>
          <w:rFonts w:hint="eastAsia" w:ascii="仿宋_GB2312" w:hAnsi="仿宋_GB2312" w:eastAsia="仿宋_GB2312" w:cs="仿宋_GB2312"/>
          <w:sz w:val="32"/>
          <w:szCs w:val="32"/>
        </w:rPr>
        <w:t xml:space="preserve">开展民间国际科技交流活动，促进国际科学技术合作，发展同国内和国(境)外科技团体和科技工作者的友好交往。为海外科技人才来梧创新创业提供服务。   </w:t>
      </w:r>
    </w:p>
    <w:p>
      <w:pPr>
        <w:pStyle w:val="7"/>
        <w:widowControl/>
        <w:adjustRightInd w:val="0"/>
        <w:snapToGrid w:val="0"/>
        <w:spacing w:line="520" w:lineRule="exact"/>
        <w:ind w:firstLine="640"/>
        <w:rPr>
          <w:rFonts w:ascii="仿宋_GB2312" w:hAnsi="仿宋_GB2312" w:eastAsia="仿宋_GB2312" w:cs="仿宋_GB2312"/>
          <w:sz w:val="32"/>
          <w:szCs w:val="32"/>
        </w:rPr>
      </w:pPr>
      <w:r>
        <w:rPr>
          <w:rFonts w:hint="eastAsia" w:ascii="楷体_GB2312" w:hAnsi="仿宋_GB2312" w:eastAsia="楷体_GB2312" w:cs="仿宋_GB2312"/>
          <w:b/>
          <w:sz w:val="32"/>
          <w:szCs w:val="32"/>
        </w:rPr>
        <w:t>（九）</w:t>
      </w:r>
      <w:r>
        <w:rPr>
          <w:rFonts w:hint="eastAsia" w:ascii="仿宋_GB2312" w:hAnsi="仿宋_GB2312" w:eastAsia="仿宋_GB2312" w:cs="仿宋_GB2312"/>
          <w:sz w:val="32"/>
          <w:szCs w:val="32"/>
        </w:rPr>
        <w:t>负责中学生参加国际、国内、区内、市内数理化、生物、信息等奥林匹克竞赛活动的组织、监督、审核工作。</w:t>
      </w:r>
    </w:p>
    <w:p>
      <w:pPr>
        <w:pStyle w:val="7"/>
        <w:adjustRightInd w:val="0"/>
        <w:snapToGrid w:val="0"/>
        <w:spacing w:line="52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（十）</w:t>
      </w:r>
      <w:r>
        <w:rPr>
          <w:rFonts w:hint="eastAsia" w:ascii="仿宋_GB2312" w:hAnsi="仿宋_GB2312" w:eastAsia="仿宋_GB2312" w:cs="仿宋_GB2312"/>
          <w:sz w:val="32"/>
          <w:szCs w:val="32"/>
        </w:rPr>
        <w:t>按照国家、自治区和梧州市有关科普工作的方针、政策、规定，制定全市科协系统科普工作的具体计划并组织实施；指导科协系统设施、场所的规划、建设、管理及科普工作队伍的建设工作。</w:t>
      </w:r>
    </w:p>
    <w:p>
      <w:pPr>
        <w:pStyle w:val="7"/>
        <w:adjustRightInd w:val="0"/>
        <w:snapToGrid w:val="0"/>
        <w:spacing w:line="52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（十一）</w:t>
      </w:r>
      <w:r>
        <w:rPr>
          <w:rFonts w:hint="eastAsia" w:ascii="仿宋_GB2312" w:hAnsi="仿宋_GB2312" w:eastAsia="仿宋_GB2312" w:cs="仿宋_GB2312"/>
          <w:sz w:val="32"/>
          <w:szCs w:val="32"/>
        </w:rPr>
        <w:t>负责对所属市级学会（协会、研究会）进行管理，对县（市、区）科协以及科学技术工作者集中的企事业单位、街道、社区科协等基层组织进行业务指导。</w:t>
      </w:r>
    </w:p>
    <w:p>
      <w:pPr>
        <w:pStyle w:val="7"/>
        <w:adjustRightInd w:val="0"/>
        <w:snapToGrid w:val="0"/>
        <w:spacing w:line="520" w:lineRule="exact"/>
        <w:ind w:firstLine="643" w:firstLineChars="200"/>
        <w:rPr>
          <w:rFonts w:ascii="黑体" w:hAnsi="黑体" w:eastAsia="黑体"/>
          <w:b/>
          <w:color w:val="333333"/>
          <w:sz w:val="32"/>
          <w:szCs w:val="32"/>
        </w:rPr>
      </w:pPr>
      <w:r>
        <w:rPr>
          <w:rFonts w:hint="eastAsia" w:ascii="楷体_GB2312" w:hAnsi="仿宋_GB2312" w:eastAsia="楷体_GB2312" w:cs="仿宋_GB2312"/>
          <w:b/>
          <w:sz w:val="32"/>
          <w:szCs w:val="32"/>
        </w:rPr>
        <w:t>（十二）</w:t>
      </w:r>
      <w:r>
        <w:rPr>
          <w:rFonts w:hint="eastAsia" w:ascii="仿宋_GB2312" w:hAnsi="仿宋_GB2312" w:eastAsia="仿宋_GB2312" w:cs="仿宋_GB2312"/>
          <w:sz w:val="32"/>
          <w:szCs w:val="32"/>
        </w:rPr>
        <w:t>承担市委、市人民政府交办的其他事项。</w:t>
      </w:r>
    </w:p>
    <w:p>
      <w:pPr>
        <w:widowControl/>
        <w:wordWrap w:val="0"/>
        <w:spacing w:line="555" w:lineRule="atLeast"/>
        <w:ind w:right="-57" w:rightChars="-27" w:firstLine="630" w:firstLineChars="196"/>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二、机构设置、编制现状情况（包含基层预算单位组成、单位性质）</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1.单位性质：群团机关（参照公务员管理的机关）</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梧州市科学技术协会是中国科协的地方组织，是由所属市级学会（协会、研究会）、县（市、区）科协组成的科技工作者群众组织，是市委领导下的人民团体，是提供科技类公共服务产品的社会组织，是自治区创新体系的重要组成部分。</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2.机构设置</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梧州市科学技术协会机关内设</w:t>
      </w:r>
      <w:r>
        <w:rPr>
          <w:rFonts w:hint="eastAsia" w:ascii="Times New Roman" w:hAnsi="Times New Roman" w:eastAsia="宋体" w:cs="Times New Roman"/>
          <w:color w:val="333333"/>
          <w:kern w:val="0"/>
          <w:sz w:val="32"/>
          <w:szCs w:val="32"/>
        </w:rPr>
        <w:t>3</w:t>
      </w:r>
      <w:r>
        <w:rPr>
          <w:rFonts w:hint="eastAsia" w:ascii="仿宋_GB2312" w:hAnsi="Times New Roman" w:eastAsia="仿宋_GB2312" w:cs="Times New Roman"/>
          <w:color w:val="333333"/>
          <w:kern w:val="0"/>
          <w:sz w:val="32"/>
          <w:szCs w:val="32"/>
        </w:rPr>
        <w:t>个部（室）：即办公室、学会联络部、科技普及部。</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3.人员编制</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截止至</w:t>
      </w:r>
      <w:r>
        <w:rPr>
          <w:rFonts w:hint="eastAsia" w:ascii="Times New Roman" w:hAnsi="Times New Roman" w:eastAsia="宋体" w:cs="Times New Roman"/>
          <w:color w:val="333333"/>
          <w:kern w:val="0"/>
          <w:sz w:val="32"/>
          <w:szCs w:val="32"/>
        </w:rPr>
        <w:t>2019</w:t>
      </w:r>
      <w:r>
        <w:rPr>
          <w:rFonts w:hint="eastAsia" w:ascii="仿宋_GB2312" w:hAnsi="Times New Roman" w:eastAsia="仿宋_GB2312" w:cs="Times New Roman"/>
          <w:color w:val="333333"/>
          <w:kern w:val="0"/>
          <w:sz w:val="32"/>
          <w:szCs w:val="32"/>
        </w:rPr>
        <w:t>年</w:t>
      </w:r>
      <w:r>
        <w:rPr>
          <w:rFonts w:hint="eastAsia"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月</w:t>
      </w:r>
      <w:r>
        <w:rPr>
          <w:rFonts w:hint="eastAsia" w:ascii="Times New Roman" w:hAnsi="Times New Roman" w:eastAsia="宋体" w:cs="Times New Roman"/>
          <w:color w:val="333333"/>
          <w:kern w:val="0"/>
          <w:sz w:val="32"/>
          <w:szCs w:val="32"/>
        </w:rPr>
        <w:t>31</w:t>
      </w:r>
      <w:r>
        <w:rPr>
          <w:rFonts w:hint="eastAsia" w:ascii="仿宋_GB2312" w:hAnsi="Times New Roman" w:eastAsia="仿宋_GB2312" w:cs="Times New Roman"/>
          <w:color w:val="333333"/>
          <w:kern w:val="0"/>
          <w:sz w:val="32"/>
          <w:szCs w:val="32"/>
        </w:rPr>
        <w:t>日，梧州市科学技术协会核定机关事业编制</w:t>
      </w:r>
      <w:r>
        <w:rPr>
          <w:rFonts w:hint="eastAsia" w:ascii="Times New Roman" w:hAnsi="Times New Roman" w:eastAsia="宋体" w:cs="Times New Roman"/>
          <w:color w:val="333333"/>
          <w:kern w:val="0"/>
          <w:sz w:val="32"/>
          <w:szCs w:val="32"/>
        </w:rPr>
        <w:t>10</w:t>
      </w:r>
      <w:r>
        <w:rPr>
          <w:rFonts w:hint="eastAsia" w:ascii="仿宋_GB2312" w:hAnsi="Times New Roman" w:eastAsia="仿宋_GB2312" w:cs="Times New Roman"/>
          <w:color w:val="333333"/>
          <w:kern w:val="0"/>
          <w:sz w:val="32"/>
          <w:szCs w:val="32"/>
        </w:rPr>
        <w:t>名，后勤事业编制</w:t>
      </w:r>
      <w:r>
        <w:rPr>
          <w:rFonts w:hint="eastAsia" w:ascii="Times New Roman" w:hAnsi="Times New Roman" w:eastAsia="宋体" w:cs="Times New Roman"/>
          <w:color w:val="333333"/>
          <w:kern w:val="0"/>
          <w:sz w:val="32"/>
          <w:szCs w:val="32"/>
        </w:rPr>
        <w:t>1</w:t>
      </w:r>
      <w:r>
        <w:rPr>
          <w:rFonts w:hint="eastAsia" w:ascii="仿宋_GB2312" w:hAnsi="Times New Roman" w:eastAsia="仿宋_GB2312" w:cs="Times New Roman"/>
          <w:color w:val="333333"/>
          <w:kern w:val="0"/>
          <w:sz w:val="32"/>
          <w:szCs w:val="32"/>
        </w:rPr>
        <w:t>名。</w:t>
      </w:r>
    </w:p>
    <w:p>
      <w:pPr>
        <w:widowControl/>
        <w:wordWrap w:val="0"/>
        <w:spacing w:line="555" w:lineRule="atLeast"/>
        <w:ind w:right="-57" w:rightChars="-27" w:firstLine="630" w:firstLineChars="196"/>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三、人员构成情况（包含基层预算单位人员构成、经费管理方式）</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1.单位人员构成</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截止至</w:t>
      </w:r>
      <w:r>
        <w:rPr>
          <w:rFonts w:hint="eastAsia" w:ascii="Times New Roman" w:hAnsi="Times New Roman" w:eastAsia="宋体" w:cs="Times New Roman"/>
          <w:color w:val="333333"/>
          <w:kern w:val="0"/>
          <w:sz w:val="32"/>
          <w:szCs w:val="32"/>
        </w:rPr>
        <w:t>2019</w:t>
      </w:r>
      <w:r>
        <w:rPr>
          <w:rFonts w:hint="eastAsia" w:ascii="仿宋_GB2312" w:hAnsi="Times New Roman" w:eastAsia="仿宋_GB2312" w:cs="Times New Roman"/>
          <w:color w:val="333333"/>
          <w:kern w:val="0"/>
          <w:sz w:val="32"/>
          <w:szCs w:val="32"/>
        </w:rPr>
        <w:t>年</w:t>
      </w:r>
      <w:r>
        <w:rPr>
          <w:rFonts w:hint="eastAsia" w:ascii="Times New Roman" w:hAnsi="Times New Roman" w:eastAsia="宋体" w:cs="Times New Roman"/>
          <w:color w:val="333333"/>
          <w:kern w:val="0"/>
          <w:sz w:val="32"/>
          <w:szCs w:val="32"/>
        </w:rPr>
        <w:t>12</w:t>
      </w:r>
      <w:r>
        <w:rPr>
          <w:rFonts w:hint="eastAsia" w:ascii="仿宋_GB2312" w:hAnsi="Times New Roman" w:eastAsia="仿宋_GB2312" w:cs="Times New Roman"/>
          <w:color w:val="333333"/>
          <w:kern w:val="0"/>
          <w:sz w:val="32"/>
          <w:szCs w:val="32"/>
        </w:rPr>
        <w:t>月</w:t>
      </w:r>
      <w:r>
        <w:rPr>
          <w:rFonts w:hint="eastAsia" w:ascii="Times New Roman" w:hAnsi="Times New Roman" w:eastAsia="宋体" w:cs="Times New Roman"/>
          <w:color w:val="333333"/>
          <w:kern w:val="0"/>
          <w:sz w:val="32"/>
          <w:szCs w:val="32"/>
        </w:rPr>
        <w:t>31</w:t>
      </w:r>
      <w:r>
        <w:rPr>
          <w:rFonts w:hint="eastAsia" w:ascii="仿宋_GB2312" w:hAnsi="Times New Roman" w:eastAsia="仿宋_GB2312" w:cs="Times New Roman"/>
          <w:color w:val="333333"/>
          <w:kern w:val="0"/>
          <w:sz w:val="32"/>
          <w:szCs w:val="32"/>
        </w:rPr>
        <w:t>日，</w:t>
      </w:r>
      <w:r>
        <w:rPr>
          <w:rFonts w:ascii="仿宋_GB2312" w:hAnsi="Times New Roman" w:eastAsia="仿宋_GB2312" w:cs="Times New Roman"/>
          <w:color w:val="333333"/>
          <w:kern w:val="0"/>
          <w:sz w:val="32"/>
          <w:szCs w:val="32"/>
        </w:rPr>
        <w:t>在编</w:t>
      </w:r>
      <w:r>
        <w:rPr>
          <w:rFonts w:ascii="Times New Roman" w:hAnsi="Times New Roman" w:eastAsia="宋体" w:cs="Times New Roman"/>
          <w:color w:val="333333"/>
          <w:kern w:val="0"/>
          <w:sz w:val="32"/>
          <w:szCs w:val="32"/>
        </w:rPr>
        <w:t>1</w:t>
      </w:r>
      <w:r>
        <w:rPr>
          <w:rFonts w:hint="eastAsia" w:ascii="Times New Roman" w:hAnsi="Times New Roman" w:eastAsia="宋体" w:cs="Times New Roman"/>
          <w:color w:val="333333"/>
          <w:kern w:val="0"/>
          <w:sz w:val="32"/>
          <w:szCs w:val="32"/>
        </w:rPr>
        <w:t>1</w:t>
      </w:r>
      <w:r>
        <w:rPr>
          <w:rFonts w:ascii="仿宋_GB2312" w:hAnsi="Times New Roman" w:eastAsia="仿宋_GB2312" w:cs="Times New Roman"/>
          <w:color w:val="333333"/>
          <w:kern w:val="0"/>
          <w:sz w:val="32"/>
          <w:szCs w:val="32"/>
        </w:rPr>
        <w:t>人。其中：县处级</w:t>
      </w:r>
      <w:r>
        <w:rPr>
          <w:rFonts w:hint="eastAsia" w:ascii="Times New Roman" w:hAnsi="Times New Roman" w:eastAsia="宋体" w:cs="Times New Roman"/>
          <w:color w:val="333333"/>
          <w:kern w:val="0"/>
          <w:sz w:val="32"/>
          <w:szCs w:val="32"/>
        </w:rPr>
        <w:t>6</w:t>
      </w:r>
      <w:r>
        <w:rPr>
          <w:rFonts w:ascii="仿宋_GB2312" w:hAnsi="Times New Roman" w:eastAsia="仿宋_GB2312" w:cs="Times New Roman"/>
          <w:color w:val="333333"/>
          <w:kern w:val="0"/>
          <w:sz w:val="32"/>
          <w:szCs w:val="32"/>
        </w:rPr>
        <w:t>人，科级</w:t>
      </w:r>
      <w:r>
        <w:rPr>
          <w:rFonts w:hint="eastAsia" w:ascii="Times New Roman" w:hAnsi="Times New Roman" w:eastAsia="宋体" w:cs="Times New Roman"/>
          <w:color w:val="333333"/>
          <w:kern w:val="0"/>
          <w:sz w:val="32"/>
          <w:szCs w:val="32"/>
        </w:rPr>
        <w:t>4</w:t>
      </w:r>
      <w:r>
        <w:rPr>
          <w:rFonts w:ascii="仿宋_GB2312" w:hAnsi="Times New Roman" w:eastAsia="仿宋_GB2312" w:cs="Times New Roman"/>
          <w:color w:val="333333"/>
          <w:kern w:val="0"/>
          <w:sz w:val="32"/>
          <w:szCs w:val="32"/>
        </w:rPr>
        <w:t>人、后勤服务人员</w:t>
      </w:r>
      <w:r>
        <w:rPr>
          <w:rFonts w:ascii="Times New Roman" w:hAnsi="Times New Roman" w:eastAsia="宋体" w:cs="Times New Roman"/>
          <w:color w:val="333333"/>
          <w:kern w:val="0"/>
          <w:sz w:val="32"/>
          <w:szCs w:val="32"/>
        </w:rPr>
        <w:t>1</w:t>
      </w:r>
      <w:r>
        <w:rPr>
          <w:rFonts w:ascii="仿宋_GB2312" w:hAnsi="Times New Roman" w:eastAsia="仿宋_GB2312" w:cs="Times New Roman"/>
          <w:color w:val="333333"/>
          <w:kern w:val="0"/>
          <w:sz w:val="32"/>
          <w:szCs w:val="32"/>
        </w:rPr>
        <w:t>人。</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2</w:t>
      </w:r>
      <w:r>
        <w:rPr>
          <w:rFonts w:hint="eastAsia" w:ascii="仿宋_GB2312" w:hAnsi="Times New Roman" w:eastAsia="仿宋_GB2312" w:cs="Times New Roman"/>
          <w:color w:val="333333"/>
          <w:kern w:val="0"/>
          <w:sz w:val="32"/>
          <w:szCs w:val="32"/>
        </w:rPr>
        <w:t>.</w:t>
      </w:r>
      <w:r>
        <w:rPr>
          <w:rFonts w:ascii="仿宋_GB2312" w:hAnsi="Times New Roman" w:eastAsia="仿宋_GB2312" w:cs="Times New Roman"/>
          <w:color w:val="333333"/>
          <w:kern w:val="0"/>
          <w:sz w:val="32"/>
          <w:szCs w:val="32"/>
        </w:rPr>
        <w:t>经费管理方式</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梧州市科学技术协会</w:t>
      </w:r>
      <w:r>
        <w:rPr>
          <w:rFonts w:hint="eastAsia" w:ascii="仿宋_GB2312" w:eastAsia="仿宋_GB2312"/>
          <w:sz w:val="32"/>
          <w:szCs w:val="32"/>
        </w:rPr>
        <w:t>经费管理方式实行全额财政拨款方式。</w:t>
      </w:r>
    </w:p>
    <w:p>
      <w:pPr>
        <w:widowControl/>
        <w:numPr>
          <w:ilvl w:val="0"/>
          <w:numId w:val="2"/>
        </w:numPr>
        <w:wordWrap w:val="0"/>
        <w:spacing w:line="555" w:lineRule="atLeast"/>
        <w:ind w:right="-57" w:rightChars="-27" w:firstLine="630" w:firstLineChars="196"/>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年度主要工作任务</w:t>
      </w:r>
    </w:p>
    <w:p>
      <w:pPr>
        <w:pStyle w:val="2"/>
      </w:pP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1.加强对广大科技工作者政治引领和政治吸纳</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充分利用“不忘初心，牢记使命”主题教育成果，加强党对广大科技工作者的思想引领、政治引领。</w:t>
      </w:r>
      <w:r>
        <w:rPr>
          <w:rFonts w:hint="eastAsia" w:ascii="仿宋_GB2312" w:hAnsi="Times New Roman" w:eastAsia="仿宋_GB2312" w:cs="Times New Roman"/>
          <w:color w:val="000000" w:themeColor="text1"/>
          <w:kern w:val="0"/>
          <w:sz w:val="32"/>
          <w:szCs w:val="32"/>
        </w:rPr>
        <w:t>以习近平新时代中国特色社会主义思想为指导，</w:t>
      </w:r>
      <w:r>
        <w:rPr>
          <w:rFonts w:hint="eastAsia" w:ascii="仿宋_GB2312" w:hAnsi="Times New Roman" w:eastAsia="仿宋_GB2312" w:cs="Times New Roman"/>
          <w:color w:val="333333"/>
          <w:kern w:val="0"/>
          <w:sz w:val="32"/>
          <w:szCs w:val="32"/>
        </w:rPr>
        <w:t>在广大科技工作者中掀起学习贯彻“海纳百川，力争上游”的新时代梧州精神热潮，鼓励全市科技工作者为梧州经济社会科技发展建功立业。</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2.继续推进梧州市科协系统深化改革工作</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对照市委印发的科协系统深改方案，全面落实各项深改任务。在市县两级科协机关开展干部挂职交流，积极推进“三长一挂”工作。指导各学会建成政治性、先进性、群众性和开放型、枢纽型、平台型科技社团。</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3.指导各级科协组织规范换届加强班子建设</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指导任期届满的各级科协组织根据《中国科学技术协会章程》《地方科学技术协会主席选举结果备案规定（试行）》有关规定，认真筹备召开代表大会，进行换届选举任务。增加基层代表数量。</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4.实施“科普服务乡村振兴助力精准扶贫工程”</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联合基层科普行动计划实施单位实施“科普服务乡村振兴助力精准扶贫工程”,动员科协系统干部职工深入基层服务群众。全年针对农村专业技术协会会员、农村党员、农户、业务联系户举办农村适用技术培训班</w:t>
      </w:r>
      <w:r>
        <w:rPr>
          <w:rFonts w:hint="eastAsia" w:ascii="Times New Roman" w:hAnsi="Times New Roman" w:eastAsia="宋体" w:cs="Times New Roman"/>
          <w:color w:val="333333"/>
          <w:kern w:val="0"/>
          <w:sz w:val="32"/>
          <w:szCs w:val="32"/>
        </w:rPr>
        <w:t>60</w:t>
      </w:r>
      <w:r>
        <w:rPr>
          <w:rFonts w:hint="eastAsia" w:ascii="仿宋_GB2312" w:hAnsi="Times New Roman" w:eastAsia="仿宋_GB2312" w:cs="Times New Roman"/>
          <w:color w:val="333333"/>
          <w:kern w:val="0"/>
          <w:sz w:val="32"/>
          <w:szCs w:val="32"/>
        </w:rPr>
        <w:t>期，培训群众</w:t>
      </w:r>
      <w:r>
        <w:rPr>
          <w:rFonts w:hint="eastAsia" w:ascii="仿宋_GB2312" w:hAnsi="仿宋_GB2312" w:eastAsia="仿宋_GB2312" w:cs="仿宋_GB2312"/>
          <w:color w:val="000000" w:themeColor="text1"/>
          <w:kern w:val="0"/>
          <w:sz w:val="32"/>
          <w:szCs w:val="32"/>
        </w:rPr>
        <w:t>6000</w:t>
      </w:r>
      <w:r>
        <w:rPr>
          <w:rFonts w:hint="eastAsia" w:ascii="仿宋_GB2312" w:hAnsi="Times New Roman" w:eastAsia="仿宋_GB2312" w:cs="Times New Roman"/>
          <w:color w:val="333333"/>
          <w:kern w:val="0"/>
          <w:sz w:val="32"/>
          <w:szCs w:val="32"/>
        </w:rPr>
        <w:t>人次以上。</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5.创新打造一批具有梧州特色的科普品牌</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继续开展“民生科普--食品药品安全进万家”、社区科技园建设、科技小院建设等特色科普品牌创建活动。</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6.举办“全国科普日”、“八桂科普大行动”等大型科普宣传活动</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计划从</w:t>
      </w: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w:t>
      </w:r>
      <w:r>
        <w:rPr>
          <w:rFonts w:hint="eastAsia" w:ascii="Times New Roman" w:hAnsi="Times New Roman" w:eastAsia="宋体" w:cs="Times New Roman"/>
          <w:color w:val="333333"/>
          <w:kern w:val="0"/>
          <w:sz w:val="32"/>
          <w:szCs w:val="32"/>
        </w:rPr>
        <w:t>9</w:t>
      </w:r>
      <w:r>
        <w:rPr>
          <w:rFonts w:hint="eastAsia" w:ascii="仿宋_GB2312" w:hAnsi="Times New Roman" w:eastAsia="仿宋_GB2312" w:cs="Times New Roman"/>
          <w:color w:val="333333"/>
          <w:kern w:val="0"/>
          <w:sz w:val="32"/>
          <w:szCs w:val="32"/>
        </w:rPr>
        <w:t>月底开始举办</w:t>
      </w:r>
      <w:r>
        <w:rPr>
          <w:rFonts w:hint="eastAsia" w:ascii="仿宋_GB2312" w:hAnsi="Times New Roman" w:eastAsia="仿宋_GB2312" w:cs="Times New Roman"/>
          <w:color w:val="000000" w:themeColor="text1"/>
          <w:kern w:val="0"/>
          <w:sz w:val="32"/>
          <w:szCs w:val="32"/>
        </w:rPr>
        <w:t>“全国科普日”“八桂科普大行动”</w:t>
      </w:r>
      <w:r>
        <w:rPr>
          <w:rFonts w:hint="eastAsia" w:ascii="仿宋_GB2312" w:hAnsi="Times New Roman" w:eastAsia="仿宋_GB2312" w:cs="Times New Roman"/>
          <w:color w:val="333333"/>
          <w:kern w:val="0"/>
          <w:sz w:val="32"/>
          <w:szCs w:val="32"/>
        </w:rPr>
        <w:t>系列活动，届时将组织30个市全民科学素质工作领导小组成员单位，以及市级学会（协会、研究会）、企业科协、园区科协、社区科协、农技协、科普教育基地参与活动。</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7.加强我市青少年科技创新活动</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在各中小学校广泛开展科技教育，组织开展广西</w:t>
      </w:r>
      <w:r>
        <w:rPr>
          <w:rFonts w:hint="eastAsia" w:ascii="仿宋_GB2312" w:hAnsi="Times New Roman" w:eastAsia="仿宋_GB2312" w:cs="Times New Roman"/>
          <w:color w:val="000000" w:themeColor="text1"/>
          <w:kern w:val="0"/>
          <w:sz w:val="32"/>
          <w:szCs w:val="32"/>
        </w:rPr>
        <w:t>青少年</w:t>
      </w:r>
      <w:r>
        <w:rPr>
          <w:rFonts w:hint="eastAsia" w:ascii="仿宋_GB2312" w:hAnsi="Times New Roman" w:eastAsia="仿宋_GB2312" w:cs="Times New Roman"/>
          <w:color w:val="333333"/>
          <w:kern w:val="0"/>
          <w:sz w:val="32"/>
          <w:szCs w:val="32"/>
        </w:rPr>
        <w:t>科学节梧州市活动，重点抓好青少年科技创新大赛、“爱科学月”“快乐科普校园行”“大手拉小手”科普讲座进校园等活动。加强科普教育基地建设。向市委、市政府申请召开</w:t>
      </w: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年梧州市青少年科技创新教育成果表扬大会，并争取设立梧州市青少年科技创新市长奖项。</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8.创新开展学术交流及专家建言献策活动</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邀请科技专家来梧举办科普或学术讲座。通过举办专题论坛、研讨会、建言献策等形式，为党委、政府决策部门提供决策依据。组织我市科技团体与外地科技团体积极开展学会学术交流活动，互相学习，促进提高。为会企、会园合作牵线搭桥，通过开展专家技术咨询、培训、科研等进行共赢的科技合作，充分发挥科技创新力量为经济社会发展服务的能力，帮助企业解决实际难题。</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9.加强基层科协组织建设增强科协组织的凝聚力</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继续深入推进城区街道科协、农村社区科协、农技协建设，</w:t>
      </w:r>
      <w:r>
        <w:rPr>
          <w:rFonts w:hint="eastAsia" w:ascii="仿宋_GB2312" w:hAnsi="Times New Roman" w:eastAsia="仿宋_GB2312" w:cs="Times New Roman"/>
          <w:color w:val="000000" w:themeColor="text1"/>
          <w:kern w:val="0"/>
          <w:sz w:val="32"/>
          <w:szCs w:val="32"/>
        </w:rPr>
        <w:t>不断健全基层科协组织</w:t>
      </w:r>
      <w:r>
        <w:rPr>
          <w:rFonts w:hint="eastAsia" w:ascii="仿宋_GB2312" w:hAnsi="Times New Roman" w:eastAsia="仿宋_GB2312" w:cs="Times New Roman"/>
          <w:color w:val="333333"/>
          <w:kern w:val="0"/>
          <w:sz w:val="32"/>
          <w:szCs w:val="32"/>
        </w:rPr>
        <w:t>。加快在人才密集的园区、企业建立科协组织。指导市科协所属学会（协会、研究会）按要求完成好换届选举工作。</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10.支持学会承接政府转移职能</w:t>
      </w:r>
    </w:p>
    <w:p>
      <w:pPr>
        <w:snapToGrid w:val="0"/>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创新学会履职功能和服务社会机制，培育、支持有资质的学会承接政府转移的部分职能或受买政府的服务项目。加快学会向现代科技社团迈进的步伐，更好地服务政府、服务社会和广大科技工作者。</w:t>
      </w:r>
    </w:p>
    <w:p>
      <w:pPr>
        <w:pStyle w:val="2"/>
        <w:ind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11.完成</w:t>
      </w:r>
      <w:r>
        <w:rPr>
          <w:rFonts w:hint="eastAsia" w:ascii="仿宋_GB2312" w:hAnsi="仿宋_GB2312" w:eastAsia="仿宋_GB2312" w:cs="仿宋_GB2312"/>
          <w:sz w:val="32"/>
          <w:szCs w:val="32"/>
        </w:rPr>
        <w:t>市委、市人民政府交办的其他事项。</w:t>
      </w:r>
    </w:p>
    <w:p>
      <w:pPr>
        <w:widowControl/>
        <w:shd w:val="clear" w:color="auto" w:fill="FFFFFF"/>
        <w:spacing w:line="525" w:lineRule="atLeast"/>
        <w:ind w:left="1"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第二部分： 2020年部门预算报表（预算公开报表作为附件挂在报告尾部，详见附件）</w:t>
      </w:r>
    </w:p>
    <w:p>
      <w:pPr>
        <w:widowControl/>
        <w:wordWrap w:val="0"/>
        <w:spacing w:line="555" w:lineRule="atLeast"/>
        <w:ind w:right="-57" w:rightChars="-27" w:firstLine="643" w:firstLineChars="200"/>
        <w:rPr>
          <w:rFonts w:ascii="黑体" w:hAnsi="仿宋" w:eastAsia="黑体" w:cs="宋体"/>
          <w:b/>
          <w:bCs/>
          <w:color w:val="333333"/>
          <w:kern w:val="0"/>
          <w:sz w:val="32"/>
        </w:rPr>
      </w:pPr>
      <w:r>
        <w:rPr>
          <w:rFonts w:hint="eastAsia" w:ascii="黑体" w:hAnsi="仿宋" w:eastAsia="黑体" w:cs="宋体"/>
          <w:b/>
          <w:bCs/>
          <w:color w:val="333333"/>
          <w:kern w:val="0"/>
          <w:sz w:val="32"/>
        </w:rPr>
        <w:t>第三部分：2020年部门预算及“三公”经费预算报表说明</w:t>
      </w:r>
    </w:p>
    <w:p>
      <w:pPr>
        <w:widowControl/>
        <w:wordWrap w:val="0"/>
        <w:spacing w:line="555" w:lineRule="atLeast"/>
        <w:ind w:right="-57" w:rightChars="-27" w:firstLine="482" w:firstLineChars="150"/>
        <w:rPr>
          <w:rFonts w:ascii="宋体" w:hAnsi="宋体" w:eastAsia="宋体" w:cs="宋体"/>
          <w:color w:val="333333"/>
          <w:kern w:val="0"/>
          <w:szCs w:val="21"/>
        </w:rPr>
      </w:pPr>
      <w:r>
        <w:rPr>
          <w:rFonts w:hint="eastAsia" w:ascii="黑体" w:hAnsi="黑体" w:eastAsia="黑体" w:cs="Times New Roman"/>
          <w:b/>
          <w:color w:val="333333"/>
          <w:kern w:val="0"/>
          <w:sz w:val="32"/>
          <w:szCs w:val="32"/>
        </w:rPr>
        <w:t>一、</w:t>
      </w:r>
      <w:r>
        <w:rPr>
          <w:rFonts w:hint="eastAsia" w:ascii="黑体" w:hAnsi="Times New Roman" w:eastAsia="黑体" w:cs="Times New Roman"/>
          <w:b/>
          <w:color w:val="333333"/>
          <w:kern w:val="0"/>
          <w:sz w:val="32"/>
          <w:szCs w:val="32"/>
        </w:rPr>
        <w:t>2020</w:t>
      </w:r>
      <w:r>
        <w:rPr>
          <w:rFonts w:hint="eastAsia" w:ascii="黑体" w:hAnsi="黑体" w:eastAsia="黑体" w:cs="Times New Roman"/>
          <w:b/>
          <w:color w:val="333333"/>
          <w:kern w:val="0"/>
          <w:sz w:val="32"/>
          <w:szCs w:val="32"/>
        </w:rPr>
        <w:t>年部门收支总体</w:t>
      </w:r>
      <w:r>
        <w:rPr>
          <w:rFonts w:hint="eastAsia" w:ascii="黑体" w:hAnsi="仿宋" w:eastAsia="黑体" w:cs="宋体"/>
          <w:b/>
          <w:color w:val="000000"/>
          <w:kern w:val="0"/>
          <w:sz w:val="32"/>
          <w:szCs w:val="32"/>
        </w:rPr>
        <w:t>预算</w:t>
      </w:r>
      <w:r>
        <w:rPr>
          <w:rFonts w:hint="eastAsia" w:ascii="黑体" w:hAnsi="黑体" w:eastAsia="黑体" w:cs="Times New Roman"/>
          <w:b/>
          <w:color w:val="333333"/>
          <w:kern w:val="0"/>
          <w:sz w:val="32"/>
          <w:szCs w:val="32"/>
        </w:rPr>
        <w:t>情况</w:t>
      </w:r>
    </w:p>
    <w:p>
      <w:pPr>
        <w:widowControl/>
        <w:wordWrap w:val="0"/>
        <w:spacing w:line="555" w:lineRule="atLeast"/>
        <w:ind w:right="-57" w:rightChars="-27" w:firstLine="626" w:firstLineChars="195"/>
        <w:rPr>
          <w:rFonts w:ascii="宋体" w:hAnsi="宋体" w:eastAsia="宋体" w:cs="宋体"/>
          <w:color w:val="333333"/>
          <w:kern w:val="0"/>
          <w:szCs w:val="21"/>
        </w:rPr>
      </w:pPr>
      <w:r>
        <w:rPr>
          <w:rFonts w:hint="eastAsia" w:ascii="楷体_GB2312" w:hAnsi="Times New Roman" w:eastAsia="楷体_GB2312" w:cs="Times New Roman"/>
          <w:b/>
          <w:color w:val="333333"/>
          <w:kern w:val="0"/>
          <w:sz w:val="32"/>
          <w:szCs w:val="32"/>
        </w:rPr>
        <w:t>（一）收入预算说明。</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年收入总预算</w:t>
      </w:r>
      <w:r>
        <w:rPr>
          <w:rFonts w:hint="eastAsia" w:ascii="Times New Roman" w:hAnsi="Times New Roman" w:eastAsia="宋体" w:cs="Times New Roman"/>
          <w:color w:val="333333"/>
          <w:kern w:val="0"/>
          <w:sz w:val="32"/>
          <w:szCs w:val="32"/>
        </w:rPr>
        <w:t>2282027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1322375</w:t>
      </w:r>
      <w:r>
        <w:rPr>
          <w:rFonts w:hint="eastAsia" w:ascii="仿宋_GB2312" w:hAnsi="Times New Roman" w:eastAsia="仿宋_GB2312" w:cs="Times New Roman"/>
          <w:color w:val="333333"/>
          <w:kern w:val="0"/>
          <w:sz w:val="32"/>
          <w:szCs w:val="32"/>
        </w:rPr>
        <w:t>元, 下降</w:t>
      </w:r>
      <w:r>
        <w:rPr>
          <w:rFonts w:hint="eastAsia" w:ascii="Times New Roman" w:hAnsi="Times New Roman" w:eastAsia="宋体" w:cs="Times New Roman"/>
          <w:color w:val="333333"/>
          <w:kern w:val="0"/>
          <w:sz w:val="32"/>
          <w:szCs w:val="32"/>
        </w:rPr>
        <w:t>36.69%</w:t>
      </w:r>
      <w:r>
        <w:rPr>
          <w:rFonts w:hint="eastAsia" w:ascii="仿宋_GB2312" w:hAnsi="Times New Roman" w:eastAsia="仿宋_GB2312" w:cs="Times New Roman"/>
          <w:color w:val="333333"/>
          <w:kern w:val="0"/>
          <w:sz w:val="32"/>
          <w:szCs w:val="32"/>
        </w:rPr>
        <w:t>。</w:t>
      </w: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收入预算总体减少的主要原因：一是减少搬迁经费、机器人比赛经费一次性项目经费；二是减少转移性收入全民科学素质提升行动经费和新建农技协经费；已争取到75万全民科学素质提升行动经费和4万元新建农技协经费，但因文件未下，所以现未纳入预算，使收入预算总体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 xml:space="preserve">其中： </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yellow"/>
        </w:rPr>
      </w:pPr>
      <w:r>
        <w:rPr>
          <w:rFonts w:hint="eastAsia" w:ascii="仿宋_GB2312" w:hAnsi="Times New Roman" w:eastAsia="仿宋_GB2312" w:cs="Times New Roman"/>
          <w:color w:val="333333"/>
          <w:kern w:val="0"/>
          <w:sz w:val="32"/>
          <w:szCs w:val="32"/>
        </w:rPr>
        <w:t>1.一般公共预算拨款</w:t>
      </w:r>
      <w:r>
        <w:rPr>
          <w:rFonts w:hint="eastAsia" w:ascii="Times New Roman" w:hAnsi="Times New Roman" w:eastAsia="宋体" w:cs="Times New Roman"/>
          <w:color w:val="333333"/>
          <w:kern w:val="0"/>
          <w:sz w:val="32"/>
          <w:szCs w:val="32"/>
        </w:rPr>
        <w:t>2282027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512375</w:t>
      </w:r>
      <w:r>
        <w:rPr>
          <w:rFonts w:hint="eastAsia" w:ascii="仿宋_GB2312" w:hAnsi="Times New Roman" w:eastAsia="仿宋_GB2312" w:cs="Times New Roman"/>
          <w:color w:val="333333"/>
          <w:kern w:val="0"/>
          <w:sz w:val="32"/>
          <w:szCs w:val="32"/>
        </w:rPr>
        <w:t>元, 下降</w:t>
      </w:r>
      <w:r>
        <w:rPr>
          <w:rFonts w:hint="eastAsia" w:ascii="Times New Roman" w:hAnsi="Times New Roman" w:eastAsia="宋体" w:cs="Times New Roman"/>
          <w:color w:val="333333"/>
          <w:kern w:val="0"/>
          <w:sz w:val="32"/>
          <w:szCs w:val="32"/>
        </w:rPr>
        <w:t>18.34%</w:t>
      </w:r>
      <w:r>
        <w:rPr>
          <w:rFonts w:hint="eastAsia" w:ascii="仿宋_GB2312" w:hAnsi="Times New Roman" w:eastAsia="仿宋_GB2312" w:cs="Times New Roman"/>
          <w:color w:val="333333"/>
          <w:kern w:val="0"/>
          <w:sz w:val="32"/>
          <w:szCs w:val="32"/>
        </w:rPr>
        <w:t>；主要是用于在职干部职工基本工资、各项津贴、奖金、其他工资福利和按规定缴纳的社会保障费和住房公积金等支出；用于开展八桂科普大行动、专家服务企业、学会学术交流、企业科协专项、老科协办公专项、科普网站维护、全国科技工作者日、青少年科技创新大赛等项目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2.本单位无政府性基金拨款收入，同比无变化。</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3.本单位无纳入财政专户管理的事业收入，同比无变化。</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4.本单位无未纳入财政专户管理的事业收入，同比无变化。</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5.转移性收入</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810000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100 %</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w:t>
      </w:r>
      <w:r>
        <w:rPr>
          <w:rFonts w:hint="eastAsia" w:ascii="仿宋_GB2312" w:hAnsi="Times New Roman" w:eastAsia="仿宋_GB2312" w:cs="Times New Roman"/>
          <w:color w:val="333333"/>
          <w:kern w:val="0"/>
          <w:sz w:val="32"/>
          <w:szCs w:val="32"/>
        </w:rPr>
        <w:t>是因为已争取到75万全民科学素质提升行动经费和4万元新建农技协经费，但因文件未下，所以现未纳入预算，使收入预算总体有所减少。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6.上年结余收入</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元，同比无变化。</w:t>
      </w:r>
    </w:p>
    <w:p>
      <w:pPr>
        <w:widowControl/>
        <w:wordWrap w:val="0"/>
        <w:spacing w:line="555" w:lineRule="atLeast"/>
        <w:ind w:right="-57" w:rightChars="-27" w:firstLine="482" w:firstLineChars="150"/>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color w:val="333333"/>
          <w:kern w:val="0"/>
          <w:sz w:val="32"/>
          <w:szCs w:val="32"/>
        </w:rPr>
        <w:t>（二）支出预算说明。</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年支出总预算</w:t>
      </w:r>
      <w:r>
        <w:rPr>
          <w:rFonts w:hint="eastAsia" w:ascii="Times New Roman" w:hAnsi="Times New Roman" w:eastAsia="宋体" w:cs="Times New Roman"/>
          <w:color w:val="333333"/>
          <w:kern w:val="0"/>
          <w:sz w:val="32"/>
          <w:szCs w:val="32"/>
        </w:rPr>
        <w:t>2282027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1322375</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36.69%</w:t>
      </w:r>
      <w:r>
        <w:rPr>
          <w:rFonts w:hint="eastAsia" w:ascii="仿宋_GB2312" w:hAnsi="Times New Roman" w:eastAsia="仿宋_GB2312" w:cs="Times New Roman"/>
          <w:color w:val="333333"/>
          <w:kern w:val="0"/>
          <w:sz w:val="32"/>
          <w:szCs w:val="32"/>
        </w:rPr>
        <w:t>；支出减少的主要原因一是减少搬迁经费、机器人比赛经费一次性项目经费；二是减少转移性收入全民科学素质提升行动经费和新建农技协经费；已争取到75万全民科学素质提升行动经费和4万元新建农技协经费，但因文件未下，所以现未纳入预算，使支出预算总体有所减少。</w:t>
      </w:r>
      <w:bookmarkStart w:id="0" w:name="_GoBack"/>
      <w:bookmarkEnd w:id="0"/>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tabs>
          <w:tab w:val="center" w:pos="4475"/>
        </w:tabs>
        <w:spacing w:line="600" w:lineRule="exact"/>
        <w:ind w:firstLine="645"/>
        <w:rPr>
          <w:rFonts w:ascii="楷体_GB2312" w:hAnsi="Times New Roman" w:eastAsia="楷体_GB2312" w:cs="Times New Roman"/>
          <w:color w:val="333333"/>
          <w:kern w:val="0"/>
          <w:sz w:val="32"/>
          <w:szCs w:val="32"/>
          <w:highlight w:val="yellow"/>
        </w:rPr>
      </w:pPr>
      <w:r>
        <w:rPr>
          <w:rFonts w:hint="eastAsia" w:ascii="仿宋_GB2312" w:hAnsi="Times New Roman" w:eastAsia="仿宋_GB2312" w:cs="Times New Roman"/>
          <w:b/>
          <w:bCs/>
          <w:color w:val="333333"/>
          <w:kern w:val="0"/>
          <w:sz w:val="32"/>
        </w:rPr>
        <w:t>按支出功能分类科目划分</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（1）科学技术支出</w:t>
      </w:r>
      <w:r>
        <w:rPr>
          <w:rFonts w:hint="eastAsia" w:ascii="Times New Roman" w:hAnsi="Times New Roman" w:eastAsia="宋体" w:cs="Times New Roman"/>
          <w:color w:val="333333"/>
          <w:kern w:val="0"/>
          <w:sz w:val="32"/>
          <w:szCs w:val="32"/>
        </w:rPr>
        <w:t>1875564</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82.19 %</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1275527</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40.48%</w:t>
      </w:r>
      <w:r>
        <w:rPr>
          <w:rFonts w:hint="eastAsia" w:ascii="仿宋_GB2312" w:hAnsi="Times New Roman" w:eastAsia="仿宋_GB2312" w:cs="Times New Roman"/>
          <w:color w:val="333333"/>
          <w:kern w:val="0"/>
          <w:sz w:val="32"/>
          <w:szCs w:val="32"/>
        </w:rPr>
        <w:t>。主要是一是减少搬迁经费、机器人比赛经费一次性项目经费；</w:t>
      </w:r>
      <w:r>
        <w:rPr>
          <w:rFonts w:hint="eastAsia" w:ascii="仿宋_GB2312" w:hAnsi="Times New Roman" w:eastAsia="仿宋_GB2312" w:cs="Times New Roman"/>
          <w:color w:val="333333"/>
          <w:kern w:val="0"/>
          <w:sz w:val="32"/>
          <w:szCs w:val="32"/>
          <w:highlight w:val="none"/>
        </w:rPr>
        <w:t>二是</w:t>
      </w:r>
      <w:r>
        <w:rPr>
          <w:rFonts w:hint="eastAsia" w:ascii="仿宋_GB2312" w:hAnsi="Times New Roman" w:eastAsia="仿宋_GB2312" w:cs="Times New Roman"/>
          <w:color w:val="333333"/>
          <w:kern w:val="0"/>
          <w:sz w:val="32"/>
          <w:szCs w:val="32"/>
          <w:highlight w:val="none"/>
          <w:lang w:val="en-US" w:eastAsia="zh-CN"/>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Pr>
          <w:rFonts w:hint="eastAsia" w:ascii="仿宋_GB2312" w:hAnsi="Times New Roman" w:eastAsia="仿宋_GB2312" w:cs="Times New Roman"/>
          <w:color w:val="333333"/>
          <w:kern w:val="0"/>
          <w:sz w:val="32"/>
          <w:szCs w:val="32"/>
        </w:rPr>
        <w:t>使科学技术支出有所减少。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（2）社会保障就业支出</w:t>
      </w:r>
      <w:r>
        <w:rPr>
          <w:rFonts w:hint="eastAsia" w:ascii="Times New Roman" w:hAnsi="Times New Roman" w:eastAsia="宋体" w:cs="Times New Roman"/>
          <w:color w:val="333333"/>
          <w:kern w:val="0"/>
          <w:sz w:val="32"/>
          <w:szCs w:val="32"/>
        </w:rPr>
        <w:t>180191</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7.90%</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48240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21.12%</w:t>
      </w:r>
      <w:r>
        <w:rPr>
          <w:rFonts w:hint="eastAsia" w:ascii="仿宋_GB2312" w:hAnsi="Times New Roman" w:eastAsia="仿宋_GB2312" w:cs="Times New Roman"/>
          <w:color w:val="333333"/>
          <w:kern w:val="0"/>
          <w:sz w:val="32"/>
          <w:szCs w:val="32"/>
        </w:rPr>
        <w:t>。主要是根据《广西壮族自治区人力资源和社会保障厅、广西壮族自治区财政厅关于印发降低社会保险费率实施方案的通知》（桂人社[2019]9号）相关内容“职工基本养老保险（包括企业和机关事业单位基本养老保险）单位缴费比例调整为16%”使社会保障就业支出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（3）卫生健康支出</w:t>
      </w:r>
      <w:r>
        <w:rPr>
          <w:rFonts w:hint="eastAsia" w:ascii="Times New Roman" w:hAnsi="Times New Roman" w:eastAsia="宋体" w:cs="Times New Roman"/>
          <w:color w:val="333333"/>
          <w:kern w:val="0"/>
          <w:sz w:val="32"/>
          <w:szCs w:val="32"/>
        </w:rPr>
        <w:t>91129</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3.99%</w:t>
      </w:r>
      <w:r>
        <w:rPr>
          <w:rFonts w:hint="eastAsia" w:ascii="仿宋_GB2312" w:hAnsi="Times New Roman" w:eastAsia="仿宋_GB2312" w:cs="Times New Roman"/>
          <w:color w:val="333333"/>
          <w:kern w:val="0"/>
          <w:sz w:val="32"/>
          <w:szCs w:val="32"/>
        </w:rPr>
        <w:t>，同比增加</w:t>
      </w:r>
      <w:r>
        <w:rPr>
          <w:rFonts w:hint="eastAsia" w:ascii="Times New Roman" w:hAnsi="Times New Roman" w:eastAsia="宋体" w:cs="Times New Roman"/>
          <w:color w:val="333333"/>
          <w:kern w:val="0"/>
          <w:sz w:val="32"/>
          <w:szCs w:val="32"/>
        </w:rPr>
        <w:t>3307</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3.77%</w:t>
      </w:r>
      <w:r>
        <w:rPr>
          <w:rFonts w:hint="eastAsia" w:ascii="仿宋_GB2312" w:hAnsi="Times New Roman" w:eastAsia="仿宋_GB2312" w:cs="Times New Roman"/>
          <w:color w:val="333333"/>
          <w:kern w:val="0"/>
          <w:sz w:val="32"/>
          <w:szCs w:val="32"/>
        </w:rPr>
        <w:t>。主要是根据《广西壮族自治区医疗保障局等4部门关于印发广西壮族自治区生育保险和职工基本医疗保险合并实施方案的通知》(桂医保发「2019]28号)相关规定合并生育保险和职工基本保险，扣缴比例由7.5%变为7.9%，导致卫生健康支出有所增加。</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（4）住房保障支出</w:t>
      </w:r>
      <w:r>
        <w:rPr>
          <w:rFonts w:hint="eastAsia" w:ascii="Times New Roman" w:hAnsi="Times New Roman" w:eastAsia="宋体" w:cs="Times New Roman"/>
          <w:color w:val="333333"/>
          <w:kern w:val="0"/>
          <w:sz w:val="32"/>
          <w:szCs w:val="32"/>
        </w:rPr>
        <w:t>135143</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5.92%</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1915</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1.40%</w:t>
      </w:r>
      <w:r>
        <w:rPr>
          <w:rFonts w:hint="eastAsia" w:ascii="仿宋_GB2312" w:hAnsi="Times New Roman" w:eastAsia="仿宋_GB2312" w:cs="Times New Roman"/>
          <w:color w:val="333333"/>
          <w:kern w:val="0"/>
          <w:sz w:val="32"/>
          <w:szCs w:val="32"/>
        </w:rPr>
        <w:t>。主要是根据《梧州市住房公积金管理中心关于调整2020年住房公积金缴存基数上限和下限的通知》相关规定下调了住房公积金基数，令住房保障支出有所减少。</w:t>
      </w:r>
    </w:p>
    <w:p>
      <w:pPr>
        <w:widowControl/>
        <w:wordWrap w:val="0"/>
        <w:spacing w:line="555" w:lineRule="atLeast"/>
        <w:ind w:right="-57" w:rightChars="-27" w:firstLine="630" w:firstLineChars="196"/>
        <w:rPr>
          <w:rFonts w:ascii="仿宋_GB2312" w:hAnsi="Times New Roman" w:eastAsia="仿宋_GB2312" w:cs="Times New Roman"/>
          <w:b/>
          <w:bCs/>
          <w:color w:val="333333"/>
          <w:kern w:val="0"/>
          <w:sz w:val="32"/>
        </w:rPr>
      </w:pPr>
      <w:r>
        <w:rPr>
          <w:rFonts w:hint="eastAsia" w:ascii="仿宋_GB2312" w:hAnsi="Times New Roman" w:eastAsia="仿宋_GB2312" w:cs="Times New Roman"/>
          <w:b/>
          <w:bCs/>
          <w:color w:val="333333"/>
          <w:kern w:val="0"/>
          <w:sz w:val="32"/>
        </w:rPr>
        <w:t>按支出结构分类划分，分为基本支出预算和项目支出预算。</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基本支出</w:t>
      </w:r>
      <w:r>
        <w:rPr>
          <w:rFonts w:hint="eastAsia" w:ascii="Times New Roman" w:hAnsi="Times New Roman" w:eastAsia="宋体" w:cs="Times New Roman"/>
          <w:color w:val="333333"/>
          <w:kern w:val="0"/>
          <w:sz w:val="32"/>
          <w:szCs w:val="32"/>
        </w:rPr>
        <w:t>1682027</w:t>
      </w:r>
      <w:r>
        <w:rPr>
          <w:rFonts w:hint="eastAsia" w:ascii="仿宋_GB2312" w:hAnsi="Times New Roman" w:eastAsia="仿宋_GB2312" w:cs="Times New Roman"/>
          <w:color w:val="333333"/>
          <w:kern w:val="0"/>
          <w:sz w:val="32"/>
          <w:szCs w:val="32"/>
        </w:rPr>
        <w:t>元，占支出总预算的</w:t>
      </w:r>
      <w:r>
        <w:rPr>
          <w:rFonts w:hint="eastAsia" w:ascii="Times New Roman" w:hAnsi="Times New Roman" w:eastAsia="宋体" w:cs="Times New Roman"/>
          <w:color w:val="333333"/>
          <w:kern w:val="0"/>
          <w:sz w:val="32"/>
          <w:szCs w:val="32"/>
        </w:rPr>
        <w:t>73.71%</w:t>
      </w:r>
      <w:r>
        <w:rPr>
          <w:rFonts w:hint="eastAsia" w:ascii="仿宋_GB2312" w:hAnsi="Times New Roman" w:eastAsia="仿宋_GB2312" w:cs="Times New Roman"/>
          <w:color w:val="333333"/>
          <w:kern w:val="0"/>
          <w:sz w:val="32"/>
          <w:szCs w:val="32"/>
        </w:rPr>
        <w:t>，同比增加</w:t>
      </w:r>
      <w:r>
        <w:rPr>
          <w:rFonts w:hint="eastAsia" w:ascii="Times New Roman" w:hAnsi="Times New Roman" w:eastAsia="宋体" w:cs="Times New Roman"/>
          <w:color w:val="333333"/>
          <w:kern w:val="0"/>
          <w:sz w:val="32"/>
          <w:szCs w:val="32"/>
        </w:rPr>
        <w:t>15225</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0.91%</w:t>
      </w:r>
      <w:r>
        <w:rPr>
          <w:rFonts w:hint="eastAsia" w:ascii="仿宋_GB2312" w:hAnsi="Times New Roman" w:eastAsia="仿宋_GB2312" w:cs="Times New Roman"/>
          <w:color w:val="333333"/>
          <w:kern w:val="0"/>
          <w:sz w:val="32"/>
          <w:szCs w:val="32"/>
        </w:rPr>
        <w:t>。主要是根据《</w:t>
      </w:r>
      <w:r>
        <w:rPr>
          <w:rFonts w:ascii="仿宋_GB2312" w:hAnsi="Times New Roman" w:eastAsia="仿宋_GB2312" w:cs="Times New Roman"/>
          <w:color w:val="333333"/>
          <w:kern w:val="0"/>
          <w:sz w:val="32"/>
          <w:szCs w:val="32"/>
        </w:rPr>
        <w:t>广西壮族自治区人民政府关于印发广西机关事业单位工资制度改革有关实施意见的通知</w:t>
      </w:r>
      <w:r>
        <w:rPr>
          <w:rFonts w:hint="eastAsia" w:ascii="仿宋_GB2312" w:hAnsi="Times New Roman" w:eastAsia="仿宋_GB2312" w:cs="Times New Roman"/>
          <w:color w:val="333333"/>
          <w:kern w:val="0"/>
          <w:sz w:val="32"/>
          <w:szCs w:val="32"/>
        </w:rPr>
        <w:t>》</w:t>
      </w:r>
      <w:r>
        <w:rPr>
          <w:rFonts w:ascii="仿宋_GB2312" w:hAnsi="Times New Roman" w:eastAsia="仿宋_GB2312" w:cs="Times New Roman"/>
          <w:color w:val="333333"/>
          <w:kern w:val="0"/>
          <w:sz w:val="32"/>
          <w:szCs w:val="32"/>
        </w:rPr>
        <w:t>（桂政发[2006]50号）</w:t>
      </w:r>
      <w:r>
        <w:rPr>
          <w:rFonts w:hint="eastAsia" w:ascii="仿宋_GB2312" w:hAnsi="Times New Roman" w:eastAsia="仿宋_GB2312" w:cs="Times New Roman"/>
          <w:color w:val="333333"/>
          <w:kern w:val="0"/>
          <w:sz w:val="32"/>
          <w:szCs w:val="32"/>
        </w:rPr>
        <w:t>相关规定提高了市直机关单位、参公和事业单位在职人员职务级别工资标准，使基本支出略有增加。</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项目支出</w:t>
      </w:r>
      <w:r>
        <w:rPr>
          <w:rFonts w:hint="eastAsia" w:ascii="Times New Roman" w:hAnsi="Times New Roman" w:eastAsia="宋体" w:cs="Times New Roman"/>
          <w:color w:val="333333"/>
          <w:kern w:val="0"/>
          <w:sz w:val="32"/>
          <w:szCs w:val="32"/>
        </w:rPr>
        <w:t>600000</w:t>
      </w:r>
      <w:r>
        <w:rPr>
          <w:rFonts w:hint="eastAsia" w:ascii="仿宋_GB2312" w:hAnsi="Times New Roman" w:eastAsia="仿宋_GB2312" w:cs="Times New Roman"/>
          <w:color w:val="333333"/>
          <w:kern w:val="0"/>
          <w:sz w:val="32"/>
          <w:szCs w:val="32"/>
        </w:rPr>
        <w:t>元，占支出总预算的</w:t>
      </w:r>
      <w:r>
        <w:rPr>
          <w:rFonts w:hint="eastAsia" w:ascii="Times New Roman" w:hAnsi="Times New Roman" w:eastAsia="宋体" w:cs="Times New Roman"/>
          <w:color w:val="333333"/>
          <w:kern w:val="0"/>
          <w:sz w:val="32"/>
          <w:szCs w:val="32"/>
        </w:rPr>
        <w:t>26.29%</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1337600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69.03%</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w:t>
      </w:r>
      <w:r>
        <w:rPr>
          <w:rFonts w:hint="eastAsia" w:ascii="仿宋_GB2312" w:hAnsi="Times New Roman" w:eastAsia="仿宋_GB2312" w:cs="Times New Roman"/>
          <w:color w:val="333333"/>
          <w:kern w:val="0"/>
          <w:sz w:val="32"/>
          <w:szCs w:val="32"/>
        </w:rPr>
        <w:t>一是减少搬迁经费、机器人比赛经费一次性项目经费；</w:t>
      </w:r>
      <w:r>
        <w:rPr>
          <w:rFonts w:hint="eastAsia" w:ascii="仿宋_GB2312" w:hAnsi="Times New Roman" w:eastAsia="仿宋_GB2312" w:cs="Times New Roman"/>
          <w:color w:val="333333"/>
          <w:kern w:val="0"/>
          <w:sz w:val="32"/>
          <w:szCs w:val="32"/>
          <w:highlight w:val="none"/>
        </w:rPr>
        <w:t>二是</w:t>
      </w:r>
      <w:r>
        <w:rPr>
          <w:rFonts w:hint="eastAsia" w:ascii="仿宋_GB2312" w:hAnsi="Times New Roman" w:eastAsia="仿宋_GB2312" w:cs="Times New Roman"/>
          <w:color w:val="333333"/>
          <w:kern w:val="0"/>
          <w:sz w:val="32"/>
          <w:szCs w:val="32"/>
          <w:highlight w:val="none"/>
          <w:lang w:val="en-US" w:eastAsia="zh-CN"/>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Pr>
          <w:rFonts w:hint="eastAsia" w:ascii="仿宋_GB2312" w:hAnsi="Times New Roman" w:eastAsia="仿宋_GB2312" w:cs="Times New Roman"/>
          <w:color w:val="333333"/>
          <w:kern w:val="0"/>
          <w:sz w:val="32"/>
          <w:szCs w:val="32"/>
        </w:rPr>
        <w:t>，使项目支出有所减少。</w:t>
      </w:r>
    </w:p>
    <w:p>
      <w:pPr>
        <w:widowControl/>
        <w:wordWrap w:val="0"/>
        <w:spacing w:line="555" w:lineRule="atLeast"/>
        <w:ind w:right="-57" w:rightChars="-27" w:firstLine="482" w:firstLineChars="150"/>
        <w:rPr>
          <w:rFonts w:ascii="仿宋_GB2312" w:hAnsi="Times New Roman" w:eastAsia="仿宋_GB2312" w:cs="Times New Roman"/>
          <w:color w:val="333333"/>
          <w:kern w:val="0"/>
          <w:sz w:val="32"/>
          <w:szCs w:val="32"/>
          <w:highlight w:val="yellow"/>
        </w:rPr>
      </w:pPr>
      <w:r>
        <w:rPr>
          <w:rFonts w:hint="eastAsia" w:ascii="黑体" w:hAnsi="黑体" w:eastAsia="黑体" w:cs="Times New Roman"/>
          <w:b/>
          <w:color w:val="333333"/>
          <w:kern w:val="0"/>
          <w:sz w:val="32"/>
          <w:szCs w:val="32"/>
        </w:rPr>
        <w:t>二、2020年部门财政拨款收支预算情况</w:t>
      </w:r>
    </w:p>
    <w:p>
      <w:pPr>
        <w:widowControl/>
        <w:wordWrap w:val="0"/>
        <w:spacing w:line="555" w:lineRule="atLeast"/>
        <w:ind w:right="-57" w:rightChars="-27" w:firstLine="482" w:firstLineChars="150"/>
        <w:rPr>
          <w:rFonts w:ascii="楷体_GB2312" w:hAnsi="Times New Roman" w:eastAsia="楷体_GB2312" w:cs="Times New Roman"/>
          <w:b/>
          <w:bCs/>
          <w:color w:val="333333"/>
          <w:kern w:val="0"/>
          <w:sz w:val="32"/>
          <w:szCs w:val="32"/>
        </w:rPr>
      </w:pPr>
      <w:r>
        <w:rPr>
          <w:rFonts w:hint="eastAsia" w:ascii="楷体_GB2312" w:hAnsi="Times New Roman" w:eastAsia="楷体_GB2312" w:cs="Times New Roman"/>
          <w:b/>
          <w:bCs/>
          <w:color w:val="333333"/>
          <w:kern w:val="0"/>
          <w:sz w:val="32"/>
        </w:rPr>
        <w:t>（一）财政拨款收入总体情况</w:t>
      </w:r>
      <w:r>
        <w:rPr>
          <w:rFonts w:hint="eastAsia" w:ascii="楷体_GB2312" w:hAnsi="Times New Roman" w:eastAsia="楷体_GB2312" w:cs="Times New Roman"/>
          <w:b/>
          <w:bCs/>
          <w:color w:val="333333"/>
          <w:kern w:val="0"/>
          <w:sz w:val="32"/>
          <w:szCs w:val="32"/>
        </w:rPr>
        <w:t>。</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w:t>
      </w:r>
      <w:r>
        <w:rPr>
          <w:rFonts w:hint="eastAsia" w:ascii="Times New Roman" w:hAnsi="Times New Roman" w:eastAsia="宋体" w:cs="Times New Roman"/>
          <w:color w:val="333333"/>
          <w:kern w:val="0"/>
          <w:sz w:val="32"/>
          <w:szCs w:val="32"/>
        </w:rPr>
        <w:t>020</w:t>
      </w:r>
      <w:r>
        <w:rPr>
          <w:rFonts w:hint="eastAsia" w:ascii="仿宋_GB2312" w:hAnsi="Times New Roman" w:eastAsia="仿宋_GB2312" w:cs="Times New Roman"/>
          <w:color w:val="333333"/>
          <w:kern w:val="0"/>
          <w:sz w:val="32"/>
          <w:szCs w:val="32"/>
        </w:rPr>
        <w:t>年财政拨款收入</w:t>
      </w:r>
      <w:r>
        <w:rPr>
          <w:rFonts w:hint="eastAsia" w:ascii="Times New Roman" w:hAnsi="Times New Roman" w:eastAsia="宋体" w:cs="Times New Roman"/>
          <w:color w:val="333333"/>
          <w:kern w:val="0"/>
          <w:sz w:val="32"/>
          <w:szCs w:val="32"/>
        </w:rPr>
        <w:t>2282027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512375</w:t>
      </w:r>
      <w:r>
        <w:rPr>
          <w:rFonts w:hint="eastAsia" w:ascii="仿宋_GB2312" w:hAnsi="Times New Roman" w:eastAsia="仿宋_GB2312" w:cs="Times New Roman"/>
          <w:color w:val="333333"/>
          <w:kern w:val="0"/>
          <w:sz w:val="32"/>
          <w:szCs w:val="32"/>
        </w:rPr>
        <w:t>元， 下降</w:t>
      </w:r>
      <w:r>
        <w:rPr>
          <w:rFonts w:hint="eastAsia" w:ascii="Times New Roman" w:hAnsi="Times New Roman" w:eastAsia="宋体" w:cs="Times New Roman"/>
          <w:color w:val="333333"/>
          <w:kern w:val="0"/>
          <w:sz w:val="32"/>
          <w:szCs w:val="32"/>
        </w:rPr>
        <w:t>18.34 %</w:t>
      </w:r>
      <w:r>
        <w:rPr>
          <w:rFonts w:hint="eastAsia" w:ascii="仿宋_GB2312" w:hAnsi="Times New Roman" w:eastAsia="仿宋_GB2312" w:cs="Times New Roman"/>
          <w:color w:val="333333"/>
          <w:kern w:val="0"/>
          <w:sz w:val="32"/>
          <w:szCs w:val="32"/>
        </w:rPr>
        <w:t>。</w:t>
      </w: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年收入预算总体减少的主要原因：一是减少搬迁经费、机器人比赛经费一次性项目经费；</w:t>
      </w:r>
      <w:r>
        <w:rPr>
          <w:rFonts w:hint="eastAsia" w:ascii="仿宋_GB2312" w:hAnsi="Times New Roman" w:eastAsia="仿宋_GB2312" w:cs="Times New Roman"/>
          <w:color w:val="333333"/>
          <w:kern w:val="0"/>
          <w:sz w:val="32"/>
          <w:szCs w:val="32"/>
          <w:highlight w:val="none"/>
        </w:rPr>
        <w:t>二是</w:t>
      </w:r>
      <w:r>
        <w:rPr>
          <w:rFonts w:hint="eastAsia" w:ascii="仿宋_GB2312" w:hAnsi="Times New Roman" w:eastAsia="仿宋_GB2312" w:cs="Times New Roman"/>
          <w:color w:val="333333"/>
          <w:kern w:val="0"/>
          <w:sz w:val="32"/>
          <w:szCs w:val="32"/>
          <w:highlight w:val="none"/>
          <w:lang w:val="en-US" w:eastAsia="zh-CN"/>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Pr>
          <w:rFonts w:hint="eastAsia" w:ascii="仿宋_GB2312" w:hAnsi="Times New Roman" w:eastAsia="仿宋_GB2312" w:cs="Times New Roman"/>
          <w:color w:val="333333"/>
          <w:kern w:val="0"/>
          <w:sz w:val="32"/>
          <w:szCs w:val="32"/>
        </w:rPr>
        <w:t>使财政拨款收入预算总体有所减少。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 xml:space="preserve">其中： </w:t>
      </w:r>
    </w:p>
    <w:p>
      <w:pPr>
        <w:numPr>
          <w:ilvl w:val="0"/>
          <w:numId w:val="0"/>
        </w:numPr>
        <w:tabs>
          <w:tab w:val="center" w:pos="4475"/>
        </w:tabs>
        <w:spacing w:line="572" w:lineRule="exact"/>
        <w:ind w:right="-57" w:rightChars="-27" w:firstLine="640" w:firstLineChars="200"/>
        <w:rPr>
          <w:rFonts w:hint="eastAsia" w:ascii="仿宋_GB2312" w:hAnsi="Times New Roman" w:eastAsia="仿宋_GB2312" w:cs="Times New Roman"/>
          <w:color w:val="333333"/>
          <w:kern w:val="0"/>
          <w:sz w:val="32"/>
          <w:szCs w:val="32"/>
          <w:highlight w:val="none"/>
          <w:lang w:val="en-US" w:eastAsia="zh-CN"/>
        </w:rPr>
      </w:pPr>
      <w:r>
        <w:rPr>
          <w:rFonts w:hint="eastAsia" w:ascii="仿宋_GB2312" w:hAnsi="Times New Roman" w:eastAsia="仿宋_GB2312" w:cs="Times New Roman"/>
          <w:color w:val="333333"/>
          <w:kern w:val="0"/>
          <w:sz w:val="32"/>
          <w:szCs w:val="32"/>
          <w:lang w:val="en-US" w:eastAsia="zh-CN"/>
        </w:rPr>
        <w:t>1.</w:t>
      </w:r>
      <w:r>
        <w:rPr>
          <w:rFonts w:hint="eastAsia" w:ascii="仿宋_GB2312" w:hAnsi="Times New Roman" w:eastAsia="仿宋_GB2312" w:cs="Times New Roman"/>
          <w:color w:val="333333"/>
          <w:kern w:val="0"/>
          <w:sz w:val="32"/>
          <w:szCs w:val="32"/>
        </w:rPr>
        <w:t>一般公共预算拨款</w:t>
      </w:r>
      <w:r>
        <w:rPr>
          <w:rFonts w:hint="eastAsia" w:ascii="Times New Roman" w:hAnsi="Times New Roman" w:eastAsia="宋体" w:cs="Times New Roman"/>
          <w:color w:val="333333"/>
          <w:kern w:val="0"/>
          <w:sz w:val="32"/>
          <w:szCs w:val="32"/>
        </w:rPr>
        <w:t>2282027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512375</w:t>
      </w:r>
      <w:r>
        <w:rPr>
          <w:rFonts w:hint="eastAsia" w:ascii="仿宋_GB2312" w:hAnsi="Times New Roman" w:eastAsia="仿宋_GB2312" w:cs="Times New Roman"/>
          <w:color w:val="333333"/>
          <w:kern w:val="0"/>
          <w:sz w:val="32"/>
          <w:szCs w:val="32"/>
        </w:rPr>
        <w:t>元，    下降</w:t>
      </w:r>
      <w:r>
        <w:rPr>
          <w:rFonts w:hint="eastAsia" w:ascii="Times New Roman" w:hAnsi="Times New Roman" w:eastAsia="宋体" w:cs="Times New Roman"/>
          <w:color w:val="333333"/>
          <w:kern w:val="0"/>
          <w:sz w:val="32"/>
          <w:szCs w:val="32"/>
        </w:rPr>
        <w:t>18.34%</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主要是</w:t>
      </w:r>
      <w:r>
        <w:rPr>
          <w:rFonts w:hint="eastAsia" w:ascii="仿宋_GB2312" w:hAnsi="Times New Roman" w:eastAsia="仿宋_GB2312" w:cs="Times New Roman"/>
          <w:color w:val="333333"/>
          <w:kern w:val="0"/>
          <w:sz w:val="32"/>
          <w:szCs w:val="32"/>
        </w:rPr>
        <w:t>一是减少搬迁经费、机器人比赛经费一次性项目经费；</w:t>
      </w:r>
      <w:r>
        <w:rPr>
          <w:rFonts w:hint="eastAsia" w:ascii="仿宋_GB2312" w:hAnsi="Times New Roman" w:eastAsia="仿宋_GB2312" w:cs="Times New Roman"/>
          <w:color w:val="333333"/>
          <w:kern w:val="0"/>
          <w:sz w:val="32"/>
          <w:szCs w:val="32"/>
          <w:highlight w:val="none"/>
        </w:rPr>
        <w:t>二是</w:t>
      </w:r>
      <w:r>
        <w:rPr>
          <w:rFonts w:hint="eastAsia" w:ascii="仿宋_GB2312" w:hAnsi="Times New Roman" w:eastAsia="仿宋_GB2312" w:cs="Times New Roman"/>
          <w:color w:val="333333"/>
          <w:kern w:val="0"/>
          <w:sz w:val="32"/>
          <w:szCs w:val="32"/>
          <w:highlight w:val="none"/>
          <w:lang w:val="en-US" w:eastAsia="zh-CN"/>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p>
    <w:p>
      <w:pPr>
        <w:numPr>
          <w:ilvl w:val="0"/>
          <w:numId w:val="0"/>
        </w:num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2.本单位无政府性基金拨款收入，与去年同比无增减变化。</w:t>
      </w:r>
    </w:p>
    <w:p>
      <w:pPr>
        <w:tabs>
          <w:tab w:val="center" w:pos="4475"/>
        </w:tabs>
        <w:spacing w:line="572" w:lineRule="exact"/>
        <w:ind w:right="-57" w:rightChars="-27" w:firstLine="640" w:firstLineChars="200"/>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3.本单位无上年结余收入，与去年同比无增减变化。</w:t>
      </w:r>
    </w:p>
    <w:p>
      <w:pPr>
        <w:tabs>
          <w:tab w:val="center" w:pos="4475"/>
        </w:tabs>
        <w:spacing w:line="572" w:lineRule="exact"/>
        <w:ind w:right="-57" w:rightChars="-27" w:firstLine="643" w:firstLineChars="200"/>
        <w:rPr>
          <w:rFonts w:ascii="仿宋_GB2312" w:hAnsi="Times New Roman" w:eastAsia="仿宋_GB2312" w:cs="Times New Roman"/>
          <w:color w:val="333333"/>
          <w:kern w:val="0"/>
          <w:sz w:val="32"/>
          <w:szCs w:val="32"/>
        </w:rPr>
      </w:pPr>
      <w:r>
        <w:rPr>
          <w:rFonts w:hint="eastAsia" w:ascii="楷体_GB2312" w:hAnsi="Times New Roman" w:eastAsia="楷体_GB2312" w:cs="Times New Roman"/>
          <w:b/>
          <w:bCs/>
          <w:color w:val="333333"/>
          <w:kern w:val="0"/>
          <w:sz w:val="32"/>
          <w:szCs w:val="32"/>
        </w:rPr>
        <w:t>（二）财政拨款支出总体情况。</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none"/>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年财政拨款支出</w:t>
      </w:r>
      <w:r>
        <w:rPr>
          <w:rFonts w:hint="eastAsia" w:ascii="Times New Roman" w:hAnsi="Times New Roman" w:eastAsia="宋体" w:cs="Times New Roman"/>
          <w:color w:val="333333"/>
          <w:kern w:val="0"/>
          <w:sz w:val="32"/>
          <w:szCs w:val="32"/>
        </w:rPr>
        <w:t>2282027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highlight w:val="none"/>
        </w:rPr>
        <w:t>512375</w:t>
      </w:r>
      <w:r>
        <w:rPr>
          <w:rFonts w:hint="eastAsia" w:ascii="仿宋_GB2312" w:hAnsi="Times New Roman" w:eastAsia="仿宋_GB2312" w:cs="Times New Roman"/>
          <w:color w:val="333333"/>
          <w:kern w:val="0"/>
          <w:sz w:val="32"/>
          <w:szCs w:val="32"/>
        </w:rPr>
        <w:t>元， 下降</w:t>
      </w:r>
      <w:r>
        <w:rPr>
          <w:rFonts w:hint="eastAsia" w:ascii="Times New Roman" w:hAnsi="Times New Roman" w:eastAsia="宋体" w:cs="Times New Roman"/>
          <w:color w:val="333333"/>
          <w:kern w:val="0"/>
          <w:sz w:val="32"/>
          <w:szCs w:val="32"/>
        </w:rPr>
        <w:t>18.34 %</w:t>
      </w:r>
      <w:r>
        <w:rPr>
          <w:rFonts w:hint="eastAsia" w:ascii="仿宋_GB2312" w:hAnsi="Times New Roman" w:eastAsia="仿宋_GB2312" w:cs="Times New Roman"/>
          <w:color w:val="333333"/>
          <w:kern w:val="0"/>
          <w:sz w:val="32"/>
          <w:szCs w:val="32"/>
        </w:rPr>
        <w:t>。支出减少的主要原因一是减少搬迁经费、机器人比赛经费一次性项目经费；</w:t>
      </w:r>
      <w:r>
        <w:rPr>
          <w:rFonts w:hint="eastAsia" w:ascii="仿宋_GB2312" w:hAnsi="Times New Roman" w:eastAsia="仿宋_GB2312" w:cs="Times New Roman"/>
          <w:color w:val="333333"/>
          <w:kern w:val="0"/>
          <w:sz w:val="32"/>
          <w:szCs w:val="32"/>
          <w:highlight w:val="none"/>
        </w:rPr>
        <w:t>二是</w:t>
      </w:r>
      <w:r>
        <w:rPr>
          <w:rFonts w:hint="eastAsia" w:ascii="仿宋_GB2312" w:hAnsi="Times New Roman" w:eastAsia="仿宋_GB2312" w:cs="Times New Roman"/>
          <w:color w:val="333333"/>
          <w:kern w:val="0"/>
          <w:sz w:val="32"/>
          <w:szCs w:val="32"/>
          <w:highlight w:val="none"/>
          <w:lang w:val="en-US" w:eastAsia="zh-CN"/>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r>
        <w:rPr>
          <w:rFonts w:hint="eastAsia" w:ascii="仿宋_GB2312" w:hAnsi="Times New Roman" w:eastAsia="仿宋_GB2312" w:cs="Times New Roman"/>
          <w:color w:val="333333"/>
          <w:kern w:val="0"/>
          <w:sz w:val="32"/>
          <w:szCs w:val="32"/>
          <w:highlight w:val="none"/>
        </w:rPr>
        <w:t>使财政拨款支出预算总体有所减少。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1.科学技术支出</w:t>
      </w:r>
      <w:r>
        <w:rPr>
          <w:rFonts w:hint="eastAsia" w:ascii="Times New Roman" w:hAnsi="Times New Roman" w:eastAsia="宋体" w:cs="Times New Roman"/>
          <w:color w:val="333333"/>
          <w:kern w:val="0"/>
          <w:sz w:val="32"/>
          <w:szCs w:val="32"/>
        </w:rPr>
        <w:t>1875564</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82.19 %</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465527</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lang w:val="en-US" w:eastAsia="zh-CN"/>
        </w:rPr>
        <w:t>19.89</w:t>
      </w:r>
      <w:r>
        <w:rPr>
          <w:rFonts w:hint="eastAsia"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。主要是减少搬迁经费、机器人比赛经费一次性项目经费；</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2.社会保障就业支出</w:t>
      </w:r>
      <w:r>
        <w:rPr>
          <w:rFonts w:hint="eastAsia" w:ascii="Times New Roman" w:hAnsi="Times New Roman" w:eastAsia="宋体" w:cs="Times New Roman"/>
          <w:color w:val="333333"/>
          <w:kern w:val="0"/>
          <w:sz w:val="32"/>
          <w:szCs w:val="32"/>
        </w:rPr>
        <w:t>180191</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7.90%</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48240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21.12%</w:t>
      </w:r>
      <w:r>
        <w:rPr>
          <w:rFonts w:hint="eastAsia" w:ascii="仿宋_GB2312" w:hAnsi="Times New Roman" w:eastAsia="仿宋_GB2312" w:cs="Times New Roman"/>
          <w:color w:val="333333"/>
          <w:kern w:val="0"/>
          <w:sz w:val="32"/>
          <w:szCs w:val="32"/>
        </w:rPr>
        <w:t>。原因主要是根据《广西壮族自治区人力资源和社会保障厅、广西壮族自治区财政厅关于印发降低社会保险费率实施方案的通知》（桂人社[2019]9号）相关内容“职工基本养老保险（包括企业和机关事业单位基本养老保险）单位缴费比例调整为16%”使社会保障就业支出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3.卫生健康支出</w:t>
      </w:r>
      <w:r>
        <w:rPr>
          <w:rFonts w:hint="eastAsia" w:ascii="Times New Roman" w:hAnsi="Times New Roman" w:eastAsia="宋体" w:cs="Times New Roman"/>
          <w:color w:val="333333"/>
          <w:kern w:val="0"/>
          <w:sz w:val="32"/>
          <w:szCs w:val="32"/>
        </w:rPr>
        <w:t>91129</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3.99%</w:t>
      </w:r>
      <w:r>
        <w:rPr>
          <w:rFonts w:hint="eastAsia" w:ascii="仿宋_GB2312" w:hAnsi="Times New Roman" w:eastAsia="仿宋_GB2312" w:cs="Times New Roman"/>
          <w:color w:val="333333"/>
          <w:kern w:val="0"/>
          <w:sz w:val="32"/>
          <w:szCs w:val="32"/>
        </w:rPr>
        <w:t>，同比增加</w:t>
      </w:r>
      <w:r>
        <w:rPr>
          <w:rFonts w:hint="eastAsia" w:ascii="Times New Roman" w:hAnsi="Times New Roman" w:eastAsia="宋体" w:cs="Times New Roman"/>
          <w:color w:val="333333"/>
          <w:kern w:val="0"/>
          <w:sz w:val="32"/>
          <w:szCs w:val="32"/>
        </w:rPr>
        <w:t>3307</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3.77%</w:t>
      </w:r>
      <w:r>
        <w:rPr>
          <w:rFonts w:hint="eastAsia" w:ascii="仿宋_GB2312" w:hAnsi="Times New Roman" w:eastAsia="仿宋_GB2312" w:cs="Times New Roman"/>
          <w:color w:val="333333"/>
          <w:kern w:val="0"/>
          <w:sz w:val="32"/>
          <w:szCs w:val="32"/>
        </w:rPr>
        <w:t>。主要是根据《广西壮族自治区医疗保障局等4部门关于印发广西壮族自治区生育保险和职工基本医疗保险合并实施方案的通知》(桂医保发「2019]28号)相关规定合并生育保险和职工基本保险，扣缴比例由7.5%变为7.9%，导致卫生健康支出有所增加。</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4.住房保障支出</w:t>
      </w:r>
      <w:r>
        <w:rPr>
          <w:rFonts w:hint="eastAsia" w:ascii="Times New Roman" w:hAnsi="Times New Roman" w:eastAsia="宋体" w:cs="Times New Roman"/>
          <w:color w:val="333333"/>
          <w:kern w:val="0"/>
          <w:sz w:val="32"/>
          <w:szCs w:val="32"/>
        </w:rPr>
        <w:t>135143</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5.92%</w:t>
      </w:r>
      <w:r>
        <w:rPr>
          <w:rFonts w:hint="eastAsia" w:ascii="仿宋_GB2312" w:hAnsi="Times New Roman" w:eastAsia="仿宋_GB2312" w:cs="Times New Roman"/>
          <w:color w:val="333333"/>
          <w:kern w:val="0"/>
          <w:sz w:val="32"/>
          <w:szCs w:val="32"/>
        </w:rPr>
        <w:t>，同比减</w:t>
      </w:r>
      <w:r>
        <w:rPr>
          <w:rFonts w:hint="eastAsia" w:ascii="仿宋_GB2312" w:hAnsi="Times New Roman" w:eastAsia="仿宋_GB2312" w:cs="Times New Roman"/>
          <w:color w:val="000000" w:themeColor="text1"/>
          <w:kern w:val="0"/>
          <w:sz w:val="32"/>
          <w:szCs w:val="32"/>
        </w:rPr>
        <w:t>少</w:t>
      </w:r>
      <w:r>
        <w:rPr>
          <w:rFonts w:hint="eastAsia" w:ascii="Times New Roman" w:hAnsi="Times New Roman" w:eastAsia="宋体" w:cs="Times New Roman"/>
          <w:color w:val="000000" w:themeColor="text1"/>
          <w:kern w:val="0"/>
          <w:sz w:val="32"/>
          <w:szCs w:val="32"/>
        </w:rPr>
        <w:t>1915</w:t>
      </w:r>
      <w:r>
        <w:rPr>
          <w:rFonts w:hint="eastAsia" w:ascii="仿宋_GB2312" w:hAnsi="Times New Roman" w:eastAsia="仿宋_GB2312" w:cs="Times New Roman"/>
          <w:color w:val="000000" w:themeColor="text1"/>
          <w:kern w:val="0"/>
          <w:sz w:val="32"/>
          <w:szCs w:val="32"/>
        </w:rPr>
        <w:t>元，下降</w:t>
      </w:r>
      <w:r>
        <w:rPr>
          <w:rFonts w:hint="eastAsia" w:ascii="Times New Roman" w:hAnsi="Times New Roman" w:eastAsia="宋体" w:cs="Times New Roman"/>
          <w:color w:val="000000" w:themeColor="text1"/>
          <w:kern w:val="0"/>
          <w:sz w:val="32"/>
          <w:szCs w:val="32"/>
        </w:rPr>
        <w:t>1.40%</w:t>
      </w:r>
      <w:r>
        <w:rPr>
          <w:rFonts w:hint="eastAsia" w:ascii="仿宋_GB2312" w:hAnsi="Times New Roman" w:eastAsia="仿宋_GB2312" w:cs="Times New Roman"/>
          <w:color w:val="000000" w:themeColor="text1"/>
          <w:kern w:val="0"/>
          <w:sz w:val="32"/>
          <w:szCs w:val="32"/>
        </w:rPr>
        <w:t>。主要是根据《梧州市住房公积金管理</w:t>
      </w:r>
      <w:r>
        <w:rPr>
          <w:rFonts w:hint="eastAsia" w:ascii="仿宋_GB2312" w:hAnsi="Times New Roman" w:eastAsia="仿宋_GB2312" w:cs="Times New Roman"/>
          <w:color w:val="333333"/>
          <w:kern w:val="0"/>
          <w:sz w:val="32"/>
          <w:szCs w:val="32"/>
        </w:rPr>
        <w:t>中心关于调整2020年住房公积金缴存基数上限和下限的通知》相关规定下调了住房公积金基数，令住房保障支出有所减少。</w:t>
      </w:r>
    </w:p>
    <w:p>
      <w:pPr>
        <w:pStyle w:val="15"/>
        <w:snapToGrid w:val="0"/>
        <w:spacing w:line="572" w:lineRule="exact"/>
        <w:ind w:right="-57" w:rightChars="-27" w:firstLine="472" w:firstLineChars="147"/>
        <w:rPr>
          <w:rFonts w:ascii="仿宋_GB2312" w:hAnsi="Times New Roman" w:eastAsia="仿宋_GB2312" w:cs="Times New Roman"/>
          <w:b/>
          <w:bCs/>
          <w:color w:val="333333"/>
          <w:kern w:val="0"/>
          <w:sz w:val="32"/>
        </w:rPr>
      </w:pPr>
      <w:r>
        <w:rPr>
          <w:rFonts w:hint="eastAsia" w:ascii="楷体_GB2312" w:hAnsi="Times New Roman" w:eastAsia="楷体_GB2312" w:cs="Times New Roman"/>
          <w:b/>
          <w:bCs/>
          <w:color w:val="333333"/>
          <w:kern w:val="0"/>
          <w:sz w:val="32"/>
        </w:rPr>
        <w:t>（三）一般公共预算支出按支出功能分类科目划分</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1.科学技术支出</w:t>
      </w:r>
      <w:r>
        <w:rPr>
          <w:rFonts w:hint="eastAsia" w:ascii="Times New Roman" w:hAnsi="Times New Roman" w:eastAsia="宋体" w:cs="Times New Roman"/>
          <w:color w:val="333333"/>
          <w:kern w:val="0"/>
          <w:sz w:val="32"/>
          <w:szCs w:val="32"/>
        </w:rPr>
        <w:t>1875564</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82.19%</w:t>
      </w:r>
      <w:r>
        <w:rPr>
          <w:rFonts w:hint="eastAsia"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000000" w:themeColor="text1"/>
          <w:kern w:val="0"/>
          <w:sz w:val="32"/>
          <w:szCs w:val="32"/>
          <w:highlight w:val="none"/>
        </w:rPr>
        <w:t>减少</w:t>
      </w:r>
      <w:r>
        <w:rPr>
          <w:rFonts w:hint="eastAsia" w:ascii="Times New Roman" w:hAnsi="Times New Roman" w:eastAsia="宋体" w:cs="Times New Roman"/>
          <w:color w:val="333333"/>
          <w:kern w:val="0"/>
          <w:sz w:val="32"/>
          <w:szCs w:val="32"/>
        </w:rPr>
        <w:t>465527</w:t>
      </w:r>
      <w:r>
        <w:rPr>
          <w:rFonts w:hint="eastAsia"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000000" w:themeColor="text1"/>
          <w:kern w:val="0"/>
          <w:sz w:val="32"/>
          <w:szCs w:val="32"/>
          <w:highlight w:val="none"/>
        </w:rPr>
        <w:t>减少</w:t>
      </w:r>
      <w:r>
        <w:rPr>
          <w:rFonts w:hint="eastAsia" w:ascii="仿宋_GB2312" w:hAnsi="Times New Roman" w:eastAsia="仿宋_GB2312" w:cs="Times New Roman"/>
          <w:color w:val="333333"/>
          <w:kern w:val="0"/>
          <w:sz w:val="32"/>
          <w:szCs w:val="32"/>
        </w:rPr>
        <w:t>19.89</w:t>
      </w:r>
      <w:r>
        <w:rPr>
          <w:rFonts w:hint="eastAsia"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。主要是减少搬迁经费、机器人比赛经费一次性项目经费</w:t>
      </w:r>
      <w:r>
        <w:rPr>
          <w:rFonts w:hint="eastAsia" w:ascii="仿宋_GB2312" w:hAnsi="Times New Roman" w:eastAsia="仿宋_GB2312" w:cs="Times New Roman"/>
          <w:color w:val="333333"/>
          <w:kern w:val="0"/>
          <w:sz w:val="32"/>
          <w:szCs w:val="32"/>
          <w:lang w:eastAsia="zh-CN"/>
        </w:rPr>
        <w:t>，</w:t>
      </w:r>
      <w:r>
        <w:rPr>
          <w:rFonts w:hint="eastAsia" w:ascii="仿宋_GB2312" w:hAnsi="Times New Roman" w:eastAsia="仿宋_GB2312" w:cs="Times New Roman"/>
          <w:color w:val="333333"/>
          <w:kern w:val="0"/>
          <w:sz w:val="32"/>
          <w:szCs w:val="32"/>
        </w:rPr>
        <w:t>使科学技术支出有所减少。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其中：基本支出</w:t>
      </w:r>
      <w:r>
        <w:rPr>
          <w:rFonts w:hint="eastAsia" w:ascii="Times New Roman" w:hAnsi="Times New Roman" w:eastAsia="宋体" w:cs="Times New Roman"/>
          <w:color w:val="333333"/>
          <w:kern w:val="0"/>
          <w:sz w:val="32"/>
          <w:szCs w:val="32"/>
        </w:rPr>
        <w:t>1275564</w:t>
      </w:r>
      <w:r>
        <w:rPr>
          <w:rFonts w:hint="eastAsia" w:ascii="仿宋_GB2312" w:hAnsi="Times New Roman" w:eastAsia="仿宋_GB2312" w:cs="Times New Roman"/>
          <w:color w:val="333333"/>
          <w:kern w:val="0"/>
          <w:sz w:val="32"/>
          <w:szCs w:val="32"/>
        </w:rPr>
        <w:t>元，项目支出</w:t>
      </w:r>
      <w:r>
        <w:rPr>
          <w:rFonts w:hint="eastAsia" w:ascii="Times New Roman" w:hAnsi="Times New Roman" w:eastAsia="宋体" w:cs="Times New Roman"/>
          <w:color w:val="333333"/>
          <w:kern w:val="0"/>
          <w:sz w:val="32"/>
          <w:szCs w:val="32"/>
        </w:rPr>
        <w:t>600000</w:t>
      </w:r>
      <w:r>
        <w:rPr>
          <w:rFonts w:hint="eastAsia" w:ascii="仿宋_GB2312" w:hAnsi="Times New Roman" w:eastAsia="仿宋_GB2312" w:cs="Times New Roman"/>
          <w:color w:val="333333"/>
          <w:kern w:val="0"/>
          <w:sz w:val="32"/>
          <w:szCs w:val="32"/>
        </w:rPr>
        <w:t>元。主要用于保证单位日常运转发生的基本支出和项目支出。（1）机构运行（科学技术普及）</w:t>
      </w:r>
      <w:r>
        <w:rPr>
          <w:rFonts w:hint="eastAsia" w:ascii="Times New Roman" w:hAnsi="Times New Roman" w:eastAsia="宋体" w:cs="Times New Roman"/>
          <w:color w:val="333333"/>
          <w:kern w:val="0"/>
          <w:sz w:val="32"/>
          <w:szCs w:val="32"/>
        </w:rPr>
        <w:t>1545564元</w:t>
      </w:r>
      <w:r>
        <w:rPr>
          <w:rFonts w:hint="eastAsia" w:ascii="仿宋_GB2312" w:hAnsi="Times New Roman" w:eastAsia="仿宋_GB2312" w:cs="Times New Roman"/>
          <w:color w:val="333333"/>
          <w:kern w:val="0"/>
          <w:sz w:val="32"/>
          <w:szCs w:val="32"/>
        </w:rPr>
        <w:t>；（2）青少年科技活动</w:t>
      </w:r>
      <w:r>
        <w:rPr>
          <w:rFonts w:hint="eastAsia" w:ascii="Times New Roman" w:hAnsi="Times New Roman" w:eastAsia="宋体" w:cs="Times New Roman"/>
          <w:color w:val="333333"/>
          <w:kern w:val="0"/>
          <w:sz w:val="32"/>
          <w:szCs w:val="32"/>
        </w:rPr>
        <w:t>70000</w:t>
      </w:r>
      <w:r>
        <w:rPr>
          <w:rFonts w:hint="eastAsia" w:ascii="仿宋_GB2312" w:hAnsi="Times New Roman" w:eastAsia="仿宋_GB2312" w:cs="Times New Roman"/>
          <w:color w:val="333333"/>
          <w:kern w:val="0"/>
          <w:sz w:val="32"/>
          <w:szCs w:val="32"/>
        </w:rPr>
        <w:t>元；（3）学术交流活动</w:t>
      </w:r>
      <w:r>
        <w:rPr>
          <w:rFonts w:hint="eastAsia" w:ascii="Times New Roman" w:hAnsi="Times New Roman" w:eastAsia="宋体" w:cs="Times New Roman"/>
          <w:color w:val="333333"/>
          <w:kern w:val="0"/>
          <w:sz w:val="32"/>
          <w:szCs w:val="32"/>
        </w:rPr>
        <w:t>40000</w:t>
      </w:r>
      <w:r>
        <w:rPr>
          <w:rFonts w:hint="eastAsia" w:ascii="仿宋_GB2312" w:hAnsi="Times New Roman" w:eastAsia="仿宋_GB2312" w:cs="Times New Roman"/>
          <w:color w:val="333333"/>
          <w:kern w:val="0"/>
          <w:sz w:val="32"/>
          <w:szCs w:val="32"/>
        </w:rPr>
        <w:t>元；（4）其他科学技术普及支出</w:t>
      </w:r>
      <w:r>
        <w:rPr>
          <w:rFonts w:hint="eastAsia" w:ascii="Times New Roman" w:hAnsi="Times New Roman" w:eastAsia="宋体" w:cs="Times New Roman"/>
          <w:color w:val="333333"/>
          <w:kern w:val="0"/>
          <w:sz w:val="32"/>
          <w:szCs w:val="32"/>
        </w:rPr>
        <w:t>220000</w:t>
      </w:r>
      <w:r>
        <w:rPr>
          <w:rFonts w:hint="eastAsia" w:ascii="仿宋_GB2312" w:hAnsi="Times New Roman" w:eastAsia="仿宋_GB2312" w:cs="Times New Roman"/>
          <w:color w:val="333333"/>
          <w:kern w:val="0"/>
          <w:sz w:val="32"/>
          <w:szCs w:val="32"/>
        </w:rPr>
        <w:t>元。</w:t>
      </w:r>
    </w:p>
    <w:p>
      <w:pPr>
        <w:tabs>
          <w:tab w:val="center" w:pos="4475"/>
        </w:tabs>
        <w:spacing w:line="572" w:lineRule="exact"/>
        <w:ind w:right="-57" w:rightChars="-27" w:firstLine="640" w:firstLineChars="200"/>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2.社会保障就业支出</w:t>
      </w:r>
      <w:r>
        <w:rPr>
          <w:rFonts w:hint="eastAsia" w:ascii="Times New Roman" w:hAnsi="Times New Roman" w:eastAsia="宋体" w:cs="Times New Roman"/>
          <w:color w:val="333333"/>
          <w:kern w:val="0"/>
          <w:sz w:val="32"/>
          <w:szCs w:val="32"/>
        </w:rPr>
        <w:t>180191</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7.90%</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48240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21.12</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highlight w:val="none"/>
        </w:rPr>
        <w:t>主要是</w:t>
      </w:r>
      <w:r>
        <w:rPr>
          <w:rFonts w:hint="eastAsia" w:ascii="仿宋_GB2312" w:hAnsi="Times New Roman" w:eastAsia="仿宋_GB2312" w:cs="Times New Roman"/>
          <w:color w:val="333333"/>
          <w:kern w:val="0"/>
          <w:sz w:val="32"/>
          <w:szCs w:val="32"/>
        </w:rPr>
        <w:t>根据《广西壮族自治区人力资源和社会保障厅、广西壮族自治区财政厅关于印发降低社会保险费率实施方案的通知》（桂人社[2019]9号）相关内容“职工基本养老保险（包括企业和机关事业单位基本养老保险）单位缴费比例调整为16%”使社会保障就业支出有所减少。</w:t>
      </w:r>
    </w:p>
    <w:p>
      <w:pPr>
        <w:tabs>
          <w:tab w:val="center" w:pos="4475"/>
        </w:tabs>
        <w:spacing w:line="572" w:lineRule="exact"/>
        <w:ind w:right="-57" w:rightChars="-27" w:firstLine="640" w:firstLineChars="200"/>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其中：基本支出</w:t>
      </w:r>
      <w:r>
        <w:rPr>
          <w:rFonts w:hint="eastAsia" w:ascii="Times New Roman" w:hAnsi="Times New Roman" w:eastAsia="宋体" w:cs="Times New Roman"/>
          <w:color w:val="333333"/>
          <w:kern w:val="0"/>
          <w:sz w:val="32"/>
          <w:szCs w:val="32"/>
          <w:lang w:val="en-US" w:eastAsia="zh-CN"/>
        </w:rPr>
        <w:t>180191</w:t>
      </w:r>
      <w:r>
        <w:rPr>
          <w:rFonts w:hint="eastAsia" w:ascii="仿宋_GB2312" w:hAnsi="Times New Roman" w:eastAsia="仿宋_GB2312" w:cs="Times New Roman"/>
          <w:color w:val="333333"/>
          <w:kern w:val="0"/>
          <w:sz w:val="32"/>
          <w:szCs w:val="32"/>
        </w:rPr>
        <w:t>元，项目支出</w:t>
      </w:r>
      <w:r>
        <w:rPr>
          <w:rFonts w:hint="eastAsia" w:ascii="Times New Roman" w:hAnsi="Times New Roman" w:eastAsia="宋体"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元。主要用于机关事业单位按规定缴纳的基本养老保险支出。</w:t>
      </w:r>
    </w:p>
    <w:p>
      <w:pPr>
        <w:numPr>
          <w:numId w:val="0"/>
        </w:numPr>
        <w:tabs>
          <w:tab w:val="center" w:pos="4475"/>
        </w:tabs>
        <w:spacing w:line="572" w:lineRule="exact"/>
        <w:ind w:right="-57" w:rightChars="-27" w:firstLine="640" w:firstLineChars="200"/>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3.</w:t>
      </w:r>
      <w:r>
        <w:rPr>
          <w:rFonts w:hint="eastAsia" w:ascii="仿宋_GB2312" w:hAnsi="Times New Roman" w:eastAsia="仿宋_GB2312" w:cs="Times New Roman"/>
          <w:color w:val="333333"/>
          <w:kern w:val="0"/>
          <w:sz w:val="32"/>
          <w:szCs w:val="32"/>
        </w:rPr>
        <w:t>卫生健康支出</w:t>
      </w:r>
      <w:r>
        <w:rPr>
          <w:rFonts w:hint="eastAsia" w:ascii="Times New Roman" w:hAnsi="Times New Roman" w:eastAsia="宋体" w:cs="Times New Roman"/>
          <w:color w:val="333333"/>
          <w:kern w:val="0"/>
          <w:sz w:val="32"/>
          <w:szCs w:val="32"/>
        </w:rPr>
        <w:t>91129</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3.99%</w:t>
      </w:r>
      <w:r>
        <w:rPr>
          <w:rFonts w:hint="eastAsia" w:ascii="仿宋_GB2312" w:hAnsi="Times New Roman" w:eastAsia="仿宋_GB2312" w:cs="Times New Roman"/>
          <w:color w:val="333333"/>
          <w:kern w:val="0"/>
          <w:sz w:val="32"/>
          <w:szCs w:val="32"/>
        </w:rPr>
        <w:t>，同比增加</w:t>
      </w:r>
      <w:r>
        <w:rPr>
          <w:rFonts w:hint="eastAsia" w:ascii="Times New Roman" w:hAnsi="Times New Roman" w:eastAsia="宋体" w:cs="Times New Roman"/>
          <w:color w:val="333333"/>
          <w:kern w:val="0"/>
          <w:sz w:val="32"/>
          <w:szCs w:val="32"/>
        </w:rPr>
        <w:t>3307</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3.77%</w:t>
      </w:r>
      <w:r>
        <w:rPr>
          <w:rFonts w:hint="eastAsia" w:ascii="仿宋_GB2312" w:hAnsi="Times New Roman" w:eastAsia="仿宋_GB2312" w:cs="Times New Roman"/>
          <w:color w:val="333333"/>
          <w:kern w:val="0"/>
          <w:sz w:val="32"/>
          <w:szCs w:val="32"/>
        </w:rPr>
        <w:t>，主要是根据《广西壮族自治区医疗保障局等4部门关于印发广西壮族自治区生育保险和职工基本医疗保险合并实施方案的通知》(桂医保发「2019]28号)相关规定合并生育保险和职工基本保险，扣缴比例由7.5%变为7.9%，令市直机关单位、参公和事业单位的社会保险缴费基数增大，导致卫生健康支出有所增加。</w:t>
      </w:r>
    </w:p>
    <w:p>
      <w:pPr>
        <w:numPr>
          <w:numId w:val="0"/>
        </w:num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其中：基本支出</w:t>
      </w:r>
      <w:r>
        <w:rPr>
          <w:rFonts w:hint="eastAsia" w:ascii="Times New Roman" w:hAnsi="Times New Roman" w:eastAsia="宋体" w:cs="Times New Roman"/>
          <w:color w:val="333333"/>
          <w:kern w:val="0"/>
          <w:sz w:val="32"/>
          <w:szCs w:val="32"/>
          <w:lang w:val="en-US" w:eastAsia="zh-CN"/>
        </w:rPr>
        <w:t>91129</w:t>
      </w:r>
      <w:r>
        <w:rPr>
          <w:rFonts w:hint="eastAsia" w:ascii="仿宋_GB2312" w:hAnsi="Times New Roman" w:eastAsia="仿宋_GB2312" w:cs="Times New Roman"/>
          <w:color w:val="333333"/>
          <w:kern w:val="0"/>
          <w:sz w:val="32"/>
          <w:szCs w:val="32"/>
        </w:rPr>
        <w:t>元，项目支出</w:t>
      </w:r>
      <w:r>
        <w:rPr>
          <w:rFonts w:hint="eastAsia" w:ascii="Times New Roman" w:hAnsi="Times New Roman" w:eastAsia="宋体"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元。主要用于机关事业单位按规定缴纳的医疗保险等支出。</w:t>
      </w:r>
    </w:p>
    <w:p>
      <w:pPr>
        <w:numPr>
          <w:numId w:val="0"/>
        </w:numPr>
        <w:tabs>
          <w:tab w:val="center" w:pos="4475"/>
        </w:tabs>
        <w:spacing w:line="572" w:lineRule="exact"/>
        <w:ind w:right="-57" w:rightChars="-27" w:firstLine="640" w:firstLineChars="200"/>
        <w:rPr>
          <w:rFonts w:hint="eastAsia"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lang w:val="en-US" w:eastAsia="zh-CN"/>
        </w:rPr>
        <w:t>4.</w:t>
      </w:r>
      <w:r>
        <w:rPr>
          <w:rFonts w:ascii="仿宋_GB2312" w:hAnsi="Times New Roman" w:eastAsia="仿宋_GB2312" w:cs="Times New Roman"/>
          <w:color w:val="333333"/>
          <w:kern w:val="0"/>
          <w:sz w:val="32"/>
          <w:szCs w:val="32"/>
        </w:rPr>
        <w:t>住房保障支出</w:t>
      </w:r>
      <w:r>
        <w:rPr>
          <w:rFonts w:hint="eastAsia" w:ascii="Times New Roman" w:hAnsi="Times New Roman" w:eastAsia="宋体" w:cs="Times New Roman"/>
          <w:color w:val="333333"/>
          <w:kern w:val="0"/>
          <w:sz w:val="32"/>
          <w:szCs w:val="32"/>
        </w:rPr>
        <w:t>135143</w:t>
      </w:r>
      <w:r>
        <w:rPr>
          <w:rFonts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5.92</w:t>
      </w:r>
      <w:r>
        <w:rPr>
          <w:rFonts w:ascii="Times New Roman" w:hAnsi="Times New Roman" w:eastAsia="宋体" w:cs="Times New Roman"/>
          <w:color w:val="333333"/>
          <w:kern w:val="0"/>
          <w:sz w:val="32"/>
          <w:szCs w:val="32"/>
        </w:rPr>
        <w:t>%</w:t>
      </w:r>
      <w:r>
        <w:rPr>
          <w:rFonts w:ascii="仿宋_GB2312" w:hAnsi="Times New Roman" w:eastAsia="仿宋_GB2312" w:cs="Times New Roman"/>
          <w:color w:val="333333"/>
          <w:kern w:val="0"/>
          <w:sz w:val="32"/>
          <w:szCs w:val="32"/>
        </w:rPr>
        <w:t>，同比</w:t>
      </w:r>
      <w:r>
        <w:rPr>
          <w:rFonts w:hint="eastAsia" w:ascii="仿宋_GB2312" w:hAnsi="Times New Roman" w:eastAsia="仿宋_GB2312" w:cs="Times New Roman"/>
          <w:color w:val="333333"/>
          <w:kern w:val="0"/>
          <w:sz w:val="32"/>
          <w:szCs w:val="32"/>
        </w:rPr>
        <w:t>减少</w:t>
      </w:r>
      <w:r>
        <w:rPr>
          <w:rFonts w:hint="eastAsia" w:ascii="Times New Roman" w:hAnsi="Times New Roman" w:eastAsia="宋体" w:cs="Times New Roman"/>
          <w:color w:val="333333"/>
          <w:kern w:val="0"/>
          <w:sz w:val="32"/>
          <w:szCs w:val="32"/>
        </w:rPr>
        <w:t>1915</w:t>
      </w:r>
      <w:r>
        <w:rPr>
          <w:rFonts w:ascii="仿宋_GB2312" w:hAnsi="Times New Roman" w:eastAsia="仿宋_GB2312" w:cs="Times New Roman"/>
          <w:color w:val="333333"/>
          <w:kern w:val="0"/>
          <w:sz w:val="32"/>
          <w:szCs w:val="32"/>
        </w:rPr>
        <w:t>元，</w:t>
      </w:r>
      <w:r>
        <w:rPr>
          <w:rFonts w:hint="eastAsia" w:ascii="仿宋_GB2312" w:hAnsi="Times New Roman" w:eastAsia="仿宋_GB2312" w:cs="Times New Roman"/>
          <w:color w:val="333333"/>
          <w:kern w:val="0"/>
          <w:sz w:val="32"/>
          <w:szCs w:val="32"/>
        </w:rPr>
        <w:t>下降</w:t>
      </w:r>
      <w:r>
        <w:rPr>
          <w:rFonts w:hint="eastAsia" w:ascii="Times New Roman" w:hAnsi="Times New Roman" w:eastAsia="宋体" w:cs="Times New Roman"/>
          <w:color w:val="333333"/>
          <w:kern w:val="0"/>
          <w:sz w:val="32"/>
          <w:szCs w:val="32"/>
        </w:rPr>
        <w:t>1.40</w:t>
      </w:r>
      <w:r>
        <w:rPr>
          <w:rFonts w:ascii="Times New Roman" w:hAnsi="Times New Roman" w:eastAsia="宋体" w:cs="Times New Roman"/>
          <w:color w:val="333333"/>
          <w:kern w:val="0"/>
          <w:sz w:val="32"/>
          <w:szCs w:val="32"/>
        </w:rPr>
        <w:t>%</w:t>
      </w:r>
      <w:r>
        <w:rPr>
          <w:rFonts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rPr>
        <w:t>主要是根据《梧州市住房公积金管理中心关于调整2020年住房公积金缴存基数上限和下限的通知》相关规定下调了住房公积金基数，令住房保障支出有所减少。</w:t>
      </w:r>
    </w:p>
    <w:p>
      <w:pPr>
        <w:numPr>
          <w:numId w:val="0"/>
        </w:num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其中：基本支出</w:t>
      </w:r>
      <w:r>
        <w:rPr>
          <w:rFonts w:hint="eastAsia" w:ascii="Times New Roman" w:hAnsi="Times New Roman" w:eastAsia="宋体" w:cs="Times New Roman"/>
          <w:color w:val="333333"/>
          <w:kern w:val="0"/>
          <w:sz w:val="32"/>
          <w:szCs w:val="32"/>
          <w:lang w:val="en-US" w:eastAsia="zh-CN"/>
        </w:rPr>
        <w:t>135143</w:t>
      </w:r>
      <w:r>
        <w:rPr>
          <w:rFonts w:hint="eastAsia" w:ascii="仿宋_GB2312" w:hAnsi="Times New Roman" w:eastAsia="仿宋_GB2312" w:cs="Times New Roman"/>
          <w:color w:val="333333"/>
          <w:kern w:val="0"/>
          <w:sz w:val="32"/>
          <w:szCs w:val="32"/>
        </w:rPr>
        <w:t>元，项目支出</w:t>
      </w:r>
      <w:r>
        <w:rPr>
          <w:rFonts w:hint="eastAsia" w:ascii="Times New Roman" w:hAnsi="Times New Roman" w:eastAsia="宋体" w:cs="Times New Roman"/>
          <w:color w:val="333333"/>
          <w:kern w:val="0"/>
          <w:sz w:val="32"/>
          <w:szCs w:val="32"/>
          <w:lang w:val="en-US" w:eastAsia="zh-CN"/>
        </w:rPr>
        <w:t>0</w:t>
      </w:r>
      <w:r>
        <w:rPr>
          <w:rFonts w:hint="eastAsia" w:ascii="仿宋_GB2312" w:hAnsi="Times New Roman" w:eastAsia="仿宋_GB2312" w:cs="Times New Roman"/>
          <w:color w:val="333333"/>
          <w:kern w:val="0"/>
          <w:sz w:val="32"/>
          <w:szCs w:val="32"/>
        </w:rPr>
        <w:t>元。</w:t>
      </w:r>
      <w:r>
        <w:rPr>
          <w:rFonts w:ascii="仿宋_GB2312" w:hAnsi="Times New Roman" w:eastAsia="仿宋_GB2312" w:cs="Times New Roman"/>
          <w:color w:val="333333"/>
          <w:kern w:val="0"/>
          <w:sz w:val="32"/>
          <w:szCs w:val="32"/>
        </w:rPr>
        <w:t>主要用于机关事业单位按规定缴纳的住房公积金支出</w:t>
      </w:r>
      <w:r>
        <w:rPr>
          <w:rFonts w:hint="eastAsia" w:ascii="仿宋_GB2312" w:hAnsi="Times New Roman" w:eastAsia="仿宋_GB2312" w:cs="Times New Roman"/>
          <w:color w:val="333333"/>
          <w:kern w:val="0"/>
          <w:sz w:val="32"/>
          <w:szCs w:val="32"/>
        </w:rPr>
        <w:t>。</w:t>
      </w:r>
    </w:p>
    <w:p>
      <w:pPr>
        <w:pStyle w:val="15"/>
        <w:snapToGrid w:val="0"/>
        <w:spacing w:line="572" w:lineRule="exact"/>
        <w:ind w:right="-57" w:rightChars="-27" w:firstLine="482" w:firstLineChars="150"/>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（四）一般公共预算支出按部门经济科目划分</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1.基本支出预算</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green"/>
        </w:rPr>
      </w:pPr>
      <w:r>
        <w:rPr>
          <w:rFonts w:hint="eastAsia" w:ascii="仿宋_GB2312" w:hAnsi="Times New Roman" w:eastAsia="仿宋_GB2312" w:cs="Times New Roman"/>
          <w:color w:val="333333"/>
          <w:kern w:val="0"/>
          <w:sz w:val="32"/>
          <w:szCs w:val="32"/>
        </w:rPr>
        <w:t>基本支出预算</w:t>
      </w:r>
      <w:r>
        <w:rPr>
          <w:rFonts w:hint="eastAsia" w:ascii="Times New Roman" w:hAnsi="Times New Roman" w:eastAsia="宋体" w:cs="Times New Roman"/>
          <w:color w:val="333333"/>
          <w:kern w:val="0"/>
          <w:sz w:val="32"/>
          <w:szCs w:val="32"/>
        </w:rPr>
        <w:t>1682027</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73.71%</w:t>
      </w:r>
      <w:r>
        <w:rPr>
          <w:rFonts w:hint="eastAsia" w:ascii="仿宋_GB2312" w:hAnsi="Times New Roman" w:eastAsia="仿宋_GB2312" w:cs="Times New Roman"/>
          <w:color w:val="333333"/>
          <w:kern w:val="0"/>
          <w:sz w:val="32"/>
          <w:szCs w:val="32"/>
        </w:rPr>
        <w:t>，同比增加</w:t>
      </w:r>
      <w:r>
        <w:rPr>
          <w:rFonts w:hint="eastAsia" w:ascii="Times New Roman" w:hAnsi="Times New Roman" w:eastAsia="宋体" w:cs="Times New Roman"/>
          <w:color w:val="333333"/>
          <w:kern w:val="0"/>
          <w:sz w:val="32"/>
          <w:szCs w:val="32"/>
        </w:rPr>
        <w:t>15225</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0.91 %</w:t>
      </w:r>
      <w:r>
        <w:rPr>
          <w:rFonts w:hint="eastAsia" w:ascii="仿宋_GB2312" w:hAnsi="Times New Roman" w:eastAsia="仿宋_GB2312" w:cs="Times New Roman"/>
          <w:color w:val="333333"/>
          <w:kern w:val="0"/>
          <w:sz w:val="32"/>
          <w:szCs w:val="32"/>
        </w:rPr>
        <w:t>。主要是根据《</w:t>
      </w:r>
      <w:r>
        <w:rPr>
          <w:rFonts w:ascii="仿宋_GB2312" w:hAnsi="Times New Roman" w:eastAsia="仿宋_GB2312" w:cs="Times New Roman"/>
          <w:color w:val="333333"/>
          <w:kern w:val="0"/>
          <w:sz w:val="32"/>
          <w:szCs w:val="32"/>
        </w:rPr>
        <w:t>广西壮族自治区人民政府关于印发广西机关事业单位工资制度改革有关实施意见的通知</w:t>
      </w:r>
      <w:r>
        <w:rPr>
          <w:rFonts w:hint="eastAsia" w:ascii="仿宋_GB2312" w:hAnsi="Times New Roman" w:eastAsia="仿宋_GB2312" w:cs="Times New Roman"/>
          <w:color w:val="333333"/>
          <w:kern w:val="0"/>
          <w:sz w:val="32"/>
          <w:szCs w:val="32"/>
        </w:rPr>
        <w:t>》</w:t>
      </w:r>
      <w:r>
        <w:rPr>
          <w:rFonts w:ascii="仿宋_GB2312" w:hAnsi="Times New Roman" w:eastAsia="仿宋_GB2312" w:cs="Times New Roman"/>
          <w:color w:val="333333"/>
          <w:kern w:val="0"/>
          <w:sz w:val="32"/>
          <w:szCs w:val="32"/>
        </w:rPr>
        <w:t>（桂政发[2006]50号）</w:t>
      </w:r>
      <w:r>
        <w:rPr>
          <w:rFonts w:hint="eastAsia" w:ascii="仿宋_GB2312" w:hAnsi="Times New Roman" w:eastAsia="仿宋_GB2312" w:cs="Times New Roman"/>
          <w:color w:val="333333"/>
          <w:kern w:val="0"/>
          <w:sz w:val="32"/>
          <w:szCs w:val="32"/>
        </w:rPr>
        <w:t>根据相关规定提高了市直机关单位、参公和事业单位在职人员职务级别工资标准等原因增加了支出。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工资福利支出预算</w:t>
      </w:r>
      <w:r>
        <w:rPr>
          <w:rFonts w:hint="eastAsia" w:ascii="Times New Roman" w:hAnsi="Times New Roman" w:eastAsia="宋体" w:cs="Times New Roman"/>
          <w:color w:val="333333"/>
          <w:kern w:val="0"/>
          <w:sz w:val="32"/>
          <w:szCs w:val="32"/>
        </w:rPr>
        <w:t>1440427</w:t>
      </w:r>
      <w:r>
        <w:rPr>
          <w:rFonts w:hint="eastAsia" w:ascii="仿宋_GB2312" w:hAnsi="Times New Roman" w:eastAsia="仿宋_GB2312" w:cs="Times New Roman"/>
          <w:color w:val="333333"/>
          <w:kern w:val="0"/>
          <w:sz w:val="32"/>
          <w:szCs w:val="32"/>
        </w:rPr>
        <w:t>元，占基本支出总预算</w:t>
      </w:r>
      <w:r>
        <w:rPr>
          <w:rFonts w:hint="eastAsia" w:ascii="Times New Roman" w:hAnsi="Times New Roman" w:eastAsia="宋体" w:cs="Times New Roman"/>
          <w:color w:val="333333"/>
          <w:kern w:val="0"/>
          <w:sz w:val="32"/>
          <w:szCs w:val="32"/>
        </w:rPr>
        <w:t>85.64%</w:t>
      </w:r>
      <w:r>
        <w:rPr>
          <w:rFonts w:hint="eastAsia" w:ascii="仿宋_GB2312" w:hAnsi="Times New Roman" w:eastAsia="仿宋_GB2312" w:cs="Times New Roman"/>
          <w:color w:val="333333"/>
          <w:kern w:val="0"/>
          <w:sz w:val="32"/>
          <w:szCs w:val="32"/>
        </w:rPr>
        <w:t>，同比增加</w:t>
      </w:r>
      <w:r>
        <w:rPr>
          <w:rFonts w:hint="eastAsia" w:ascii="Times New Roman" w:hAnsi="Times New Roman" w:eastAsia="宋体" w:cs="Times New Roman"/>
          <w:color w:val="333333"/>
          <w:kern w:val="0"/>
          <w:sz w:val="32"/>
          <w:szCs w:val="32"/>
        </w:rPr>
        <w:t>64665</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4.70</w:t>
      </w:r>
      <w:r>
        <w:rPr>
          <w:rFonts w:hint="eastAsia" w:ascii="仿宋_GB2312" w:hAnsi="Times New Roman" w:eastAsia="仿宋_GB2312" w:cs="Times New Roman"/>
          <w:color w:val="333333"/>
          <w:kern w:val="0"/>
          <w:sz w:val="32"/>
          <w:szCs w:val="32"/>
        </w:rPr>
        <w:t>%。主要是根据《</w:t>
      </w:r>
      <w:r>
        <w:rPr>
          <w:rFonts w:ascii="仿宋_GB2312" w:hAnsi="Times New Roman" w:eastAsia="仿宋_GB2312" w:cs="Times New Roman"/>
          <w:color w:val="333333"/>
          <w:kern w:val="0"/>
          <w:sz w:val="32"/>
          <w:szCs w:val="32"/>
        </w:rPr>
        <w:t>广西壮族自治区人民政府关于印发广西机关事业单位工资制度改革有关实施意见的通知</w:t>
      </w:r>
      <w:r>
        <w:rPr>
          <w:rFonts w:hint="eastAsia" w:ascii="仿宋_GB2312" w:hAnsi="Times New Roman" w:eastAsia="仿宋_GB2312" w:cs="Times New Roman"/>
          <w:color w:val="333333"/>
          <w:kern w:val="0"/>
          <w:sz w:val="32"/>
          <w:szCs w:val="32"/>
        </w:rPr>
        <w:t>》</w:t>
      </w:r>
      <w:r>
        <w:rPr>
          <w:rFonts w:ascii="仿宋_GB2312" w:hAnsi="Times New Roman" w:eastAsia="仿宋_GB2312" w:cs="Times New Roman"/>
          <w:color w:val="333333"/>
          <w:kern w:val="0"/>
          <w:sz w:val="32"/>
          <w:szCs w:val="32"/>
        </w:rPr>
        <w:t>（桂政发[2006]50号）</w:t>
      </w:r>
      <w:r>
        <w:rPr>
          <w:rFonts w:hint="eastAsia" w:ascii="仿宋_GB2312" w:hAnsi="Times New Roman" w:eastAsia="仿宋_GB2312" w:cs="Times New Roman"/>
          <w:color w:val="333333"/>
          <w:kern w:val="0"/>
          <w:sz w:val="32"/>
          <w:szCs w:val="32"/>
        </w:rPr>
        <w:t xml:space="preserve">相关规定提高了市直机关单位、参公和事业单位在职人员职务级别工资标准和增加在职、退休人员物业补贴等原因增加支出。 </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商品和服务支出预算</w:t>
      </w:r>
      <w:r>
        <w:rPr>
          <w:rFonts w:hint="eastAsia" w:ascii="Times New Roman" w:hAnsi="Times New Roman" w:eastAsia="宋体" w:cs="Times New Roman"/>
          <w:color w:val="333333"/>
          <w:kern w:val="0"/>
          <w:sz w:val="32"/>
          <w:szCs w:val="32"/>
        </w:rPr>
        <w:t>241600</w:t>
      </w:r>
      <w:r>
        <w:rPr>
          <w:rFonts w:hint="eastAsia" w:ascii="仿宋_GB2312" w:hAnsi="Times New Roman" w:eastAsia="仿宋_GB2312" w:cs="Times New Roman"/>
          <w:color w:val="333333"/>
          <w:kern w:val="0"/>
          <w:sz w:val="32"/>
          <w:szCs w:val="32"/>
        </w:rPr>
        <w:t>元，占基本支出总预算</w:t>
      </w:r>
      <w:r>
        <w:rPr>
          <w:rFonts w:hint="eastAsia" w:ascii="Times New Roman" w:hAnsi="Times New Roman" w:eastAsia="宋体" w:cs="Times New Roman"/>
          <w:color w:val="333333"/>
          <w:kern w:val="0"/>
          <w:sz w:val="32"/>
          <w:szCs w:val="32"/>
        </w:rPr>
        <w:t>14.36%</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49440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16.99%</w:t>
      </w:r>
      <w:r>
        <w:rPr>
          <w:rFonts w:hint="eastAsia" w:ascii="仿宋_GB2312" w:hAnsi="Times New Roman" w:eastAsia="仿宋_GB2312" w:cs="Times New Roman"/>
          <w:color w:val="333333"/>
          <w:kern w:val="0"/>
          <w:sz w:val="32"/>
          <w:szCs w:val="32"/>
        </w:rPr>
        <w:t>。主要是物业补贴科目分类从“其他商品和服务支出”改为“津贴补贴”等原因减少支出。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资本性支出</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元，占基本支出预算</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，与去年同比无增减变化。</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2.项目支出预算</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项目支出</w:t>
      </w:r>
      <w:r>
        <w:rPr>
          <w:rFonts w:hint="eastAsia" w:ascii="Times New Roman" w:hAnsi="Times New Roman" w:eastAsia="宋体" w:cs="Times New Roman"/>
          <w:color w:val="333333"/>
          <w:kern w:val="0"/>
          <w:sz w:val="32"/>
          <w:szCs w:val="32"/>
        </w:rPr>
        <w:t>600000</w:t>
      </w:r>
      <w:r>
        <w:rPr>
          <w:rFonts w:hint="eastAsia" w:ascii="仿宋_GB2312" w:hAnsi="Times New Roman" w:eastAsia="仿宋_GB2312" w:cs="Times New Roman"/>
          <w:color w:val="333333"/>
          <w:kern w:val="0"/>
          <w:sz w:val="32"/>
          <w:szCs w:val="32"/>
        </w:rPr>
        <w:t>元，占支出总预算</w:t>
      </w:r>
      <w:r>
        <w:rPr>
          <w:rFonts w:hint="eastAsia" w:ascii="Times New Roman" w:hAnsi="Times New Roman" w:eastAsia="宋体" w:cs="Times New Roman"/>
          <w:color w:val="333333"/>
          <w:kern w:val="0"/>
          <w:sz w:val="32"/>
          <w:szCs w:val="32"/>
        </w:rPr>
        <w:t>26.29%</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527600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46.79%</w:t>
      </w:r>
      <w:r>
        <w:rPr>
          <w:rFonts w:hint="eastAsia" w:ascii="仿宋_GB2312" w:hAnsi="Times New Roman" w:eastAsia="仿宋_GB2312" w:cs="Times New Roman"/>
          <w:color w:val="333333"/>
          <w:kern w:val="0"/>
          <w:sz w:val="32"/>
          <w:szCs w:val="32"/>
        </w:rPr>
        <w:t>。其中：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工资福利支出预算</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元，占项目支出预算</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56000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100 %</w:t>
      </w:r>
      <w:r>
        <w:rPr>
          <w:rFonts w:hint="eastAsia" w:ascii="仿宋_GB2312" w:hAnsi="Times New Roman" w:eastAsia="仿宋_GB2312" w:cs="Times New Roman"/>
          <w:color w:val="333333"/>
          <w:kern w:val="0"/>
          <w:sz w:val="32"/>
          <w:szCs w:val="32"/>
        </w:rPr>
        <w:t>。</w:t>
      </w:r>
      <w:r>
        <w:rPr>
          <w:rFonts w:hint="eastAsia" w:ascii="仿宋_GB2312" w:hAnsi="Times New Roman" w:eastAsia="仿宋_GB2312" w:cs="Times New Roman"/>
          <w:color w:val="333333"/>
          <w:kern w:val="0"/>
          <w:sz w:val="32"/>
          <w:szCs w:val="32"/>
          <w:lang w:eastAsia="zh-CN"/>
        </w:rPr>
        <w:t>主要</w:t>
      </w:r>
      <w:r>
        <w:rPr>
          <w:rFonts w:hint="eastAsia" w:ascii="仿宋_GB2312" w:hAnsi="Times New Roman" w:eastAsia="仿宋_GB2312" w:cs="Times New Roman"/>
          <w:color w:val="333333"/>
          <w:kern w:val="0"/>
          <w:sz w:val="32"/>
          <w:szCs w:val="32"/>
          <w:highlight w:val="none"/>
        </w:rPr>
        <w:t>是</w:t>
      </w:r>
      <w:r>
        <w:rPr>
          <w:rFonts w:hint="eastAsia" w:ascii="仿宋_GB2312" w:hAnsi="Times New Roman" w:eastAsia="仿宋_GB2312" w:cs="Times New Roman"/>
          <w:color w:val="333333"/>
          <w:kern w:val="0"/>
          <w:sz w:val="32"/>
          <w:szCs w:val="32"/>
          <w:highlight w:val="none"/>
          <w:lang w:val="en-US" w:eastAsia="zh-CN"/>
        </w:rPr>
        <w:t>2019年10月，市政府出台了聘用人员新的管理办法关于印发《梧州市市直机关事业单位聘用人员管理暂行办法》的通知（梧财行[2019] 29号），根据文件精神，我市将进一步规范编外人员管理，节约行政成本，但受时间紧急等因素影响，有关部门尚未全部完成编外人员报批、审核工作。为保证单位基本运转，相关编外人员经费列入我市2020年政府预算 ，未列入部门（单位）2020年部门预算，上年编外人员经费列入了各部门（单位）部门预算，因而造成单位项目支出同比下降。</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商品和服务支出预算</w:t>
      </w:r>
      <w:r>
        <w:rPr>
          <w:rFonts w:hint="eastAsia" w:ascii="Times New Roman" w:hAnsi="Times New Roman" w:eastAsia="宋体" w:cs="Times New Roman"/>
          <w:color w:val="333333"/>
          <w:kern w:val="0"/>
          <w:sz w:val="32"/>
          <w:szCs w:val="32"/>
        </w:rPr>
        <w:t>600000</w:t>
      </w:r>
      <w:r>
        <w:rPr>
          <w:rFonts w:hint="eastAsia" w:ascii="仿宋_GB2312" w:hAnsi="Times New Roman" w:eastAsia="仿宋_GB2312" w:cs="Times New Roman"/>
          <w:color w:val="333333"/>
          <w:kern w:val="0"/>
          <w:sz w:val="32"/>
          <w:szCs w:val="32"/>
        </w:rPr>
        <w:t>元，占项目支出预算</w:t>
      </w:r>
      <w:r>
        <w:rPr>
          <w:rFonts w:hint="eastAsia" w:ascii="Times New Roman" w:hAnsi="Times New Roman" w:eastAsia="宋体" w:cs="Times New Roman"/>
          <w:color w:val="333333"/>
          <w:kern w:val="0"/>
          <w:sz w:val="32"/>
          <w:szCs w:val="32"/>
        </w:rPr>
        <w:t>100%，</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214600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26.34%</w:t>
      </w:r>
      <w:r>
        <w:rPr>
          <w:rFonts w:hint="eastAsia" w:ascii="仿宋_GB2312" w:hAnsi="Times New Roman" w:eastAsia="仿宋_GB2312" w:cs="Times New Roman"/>
          <w:color w:val="333333"/>
          <w:kern w:val="0"/>
          <w:sz w:val="32"/>
          <w:szCs w:val="32"/>
        </w:rPr>
        <w:t>。主要减少机器人大赛项目等原因。</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资本性支出</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元，占项目支出预算</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，同比减少</w:t>
      </w:r>
      <w:r>
        <w:rPr>
          <w:rFonts w:hint="eastAsia" w:ascii="Times New Roman" w:hAnsi="Times New Roman" w:eastAsia="宋体" w:cs="Times New Roman"/>
          <w:color w:val="333333"/>
          <w:kern w:val="0"/>
          <w:sz w:val="32"/>
          <w:szCs w:val="32"/>
        </w:rPr>
        <w:t>257000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100%</w:t>
      </w:r>
      <w:r>
        <w:rPr>
          <w:rFonts w:hint="eastAsia" w:ascii="仿宋_GB2312" w:hAnsi="Times New Roman" w:eastAsia="仿宋_GB2312" w:cs="Times New Roman"/>
          <w:color w:val="333333"/>
          <w:kern w:val="0"/>
          <w:sz w:val="32"/>
          <w:szCs w:val="32"/>
        </w:rPr>
        <w:t>。主要是减少装修搬迁项目等原因。</w:t>
      </w:r>
    </w:p>
    <w:p>
      <w:pPr>
        <w:ind w:right="-57" w:rightChars="-27" w:firstLine="482" w:firstLineChars="150"/>
        <w:rPr>
          <w:rFonts w:ascii="楷体_GB2312" w:hAnsi="Times New Roman" w:eastAsia="楷体_GB2312" w:cs="Times New Roman"/>
          <w:b/>
          <w:bCs/>
          <w:color w:val="333333"/>
          <w:kern w:val="0"/>
          <w:sz w:val="32"/>
        </w:rPr>
      </w:pPr>
      <w:r>
        <w:rPr>
          <w:rFonts w:hint="eastAsia" w:ascii="楷体_GB2312" w:hAnsi="Times New Roman" w:eastAsia="楷体_GB2312" w:cs="Times New Roman"/>
          <w:b/>
          <w:bCs/>
          <w:color w:val="333333"/>
          <w:kern w:val="0"/>
          <w:sz w:val="32"/>
        </w:rPr>
        <w:t>（五）一般公共预算支出按政府经济科目划分。</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1.机关工资福利支出</w:t>
      </w:r>
      <w:r>
        <w:rPr>
          <w:rFonts w:hint="eastAsia" w:ascii="Times New Roman" w:hAnsi="Times New Roman" w:eastAsia="宋体" w:cs="Times New Roman"/>
          <w:color w:val="333333"/>
          <w:kern w:val="0"/>
          <w:sz w:val="32"/>
          <w:szCs w:val="32"/>
        </w:rPr>
        <w:t>1440427</w:t>
      </w:r>
      <w:r>
        <w:rPr>
          <w:rFonts w:hint="eastAsia" w:ascii="仿宋_GB2312" w:hAnsi="Times New Roman" w:eastAsia="仿宋_GB2312" w:cs="Times New Roman"/>
          <w:color w:val="333333"/>
          <w:kern w:val="0"/>
          <w:sz w:val="32"/>
          <w:szCs w:val="32"/>
        </w:rPr>
        <w:t>元，其中：①工资奖金津补贴</w:t>
      </w:r>
      <w:r>
        <w:rPr>
          <w:rFonts w:hint="eastAsia" w:ascii="Times New Roman" w:hAnsi="Times New Roman" w:eastAsia="宋体" w:cs="Times New Roman"/>
          <w:color w:val="333333"/>
          <w:kern w:val="0"/>
          <w:sz w:val="32"/>
          <w:szCs w:val="32"/>
        </w:rPr>
        <w:t>1018948</w:t>
      </w:r>
      <w:r>
        <w:rPr>
          <w:rFonts w:hint="eastAsia" w:ascii="仿宋_GB2312" w:hAnsi="Times New Roman" w:eastAsia="仿宋_GB2312" w:cs="Times New Roman"/>
          <w:color w:val="333333"/>
          <w:kern w:val="0"/>
          <w:sz w:val="32"/>
          <w:szCs w:val="32"/>
        </w:rPr>
        <w:t>元；②社会保障缴费</w:t>
      </w:r>
      <w:r>
        <w:rPr>
          <w:rFonts w:hint="eastAsia" w:ascii="Times New Roman" w:hAnsi="Times New Roman" w:eastAsia="宋体" w:cs="Times New Roman"/>
          <w:color w:val="333333"/>
          <w:kern w:val="0"/>
          <w:sz w:val="32"/>
          <w:szCs w:val="32"/>
        </w:rPr>
        <w:t>286336</w:t>
      </w:r>
      <w:r>
        <w:rPr>
          <w:rFonts w:hint="eastAsia" w:ascii="仿宋_GB2312" w:hAnsi="Times New Roman" w:eastAsia="仿宋_GB2312" w:cs="Times New Roman"/>
          <w:color w:val="333333"/>
          <w:kern w:val="0"/>
          <w:sz w:val="32"/>
          <w:szCs w:val="32"/>
        </w:rPr>
        <w:t>元；③ 住房公积金</w:t>
      </w:r>
      <w:r>
        <w:rPr>
          <w:rFonts w:hint="eastAsia" w:ascii="Times New Roman" w:hAnsi="Times New Roman" w:eastAsia="宋体" w:cs="Times New Roman"/>
          <w:color w:val="333333"/>
          <w:kern w:val="0"/>
          <w:sz w:val="32"/>
          <w:szCs w:val="32"/>
        </w:rPr>
        <w:t>135143</w:t>
      </w:r>
      <w:r>
        <w:rPr>
          <w:rFonts w:hint="eastAsia" w:ascii="仿宋_GB2312" w:hAnsi="Times New Roman" w:eastAsia="仿宋_GB2312" w:cs="Times New Roman"/>
          <w:color w:val="333333"/>
          <w:kern w:val="0"/>
          <w:sz w:val="32"/>
          <w:szCs w:val="32"/>
        </w:rPr>
        <w:t>元。</w:t>
      </w:r>
    </w:p>
    <w:p>
      <w:pPr>
        <w:tabs>
          <w:tab w:val="center" w:pos="4475"/>
        </w:tabs>
        <w:spacing w:line="572" w:lineRule="exact"/>
        <w:ind w:right="-57" w:rightChars="-27" w:firstLine="640" w:firstLineChars="200"/>
        <w:rPr>
          <w:rFonts w:ascii="仿宋_GB2312" w:hAnsi="宋体" w:eastAsia="仿宋_GB2312" w:cs="宋体"/>
          <w:kern w:val="0"/>
          <w:sz w:val="32"/>
          <w:szCs w:val="32"/>
        </w:rPr>
      </w:pPr>
      <w:r>
        <w:rPr>
          <w:rFonts w:hint="eastAsia" w:ascii="仿宋_GB2312" w:hAnsi="Times New Roman" w:eastAsia="仿宋_GB2312" w:cs="Times New Roman"/>
          <w:color w:val="333333"/>
          <w:kern w:val="0"/>
          <w:sz w:val="32"/>
          <w:szCs w:val="32"/>
        </w:rPr>
        <w:t>2.机关商品和服务支出</w:t>
      </w:r>
      <w:r>
        <w:rPr>
          <w:rFonts w:hint="eastAsia" w:ascii="Times New Roman" w:hAnsi="Times New Roman" w:eastAsia="宋体" w:cs="Times New Roman"/>
          <w:color w:val="333333"/>
          <w:kern w:val="0"/>
          <w:sz w:val="32"/>
          <w:szCs w:val="32"/>
        </w:rPr>
        <w:t>841600</w:t>
      </w:r>
      <w:r>
        <w:rPr>
          <w:rFonts w:hint="eastAsia" w:ascii="仿宋_GB2312" w:hAnsi="Times New Roman" w:eastAsia="仿宋_GB2312" w:cs="Times New Roman"/>
          <w:color w:val="333333"/>
          <w:kern w:val="0"/>
          <w:sz w:val="32"/>
          <w:szCs w:val="32"/>
        </w:rPr>
        <w:t>元，其中：①办公经费</w:t>
      </w:r>
      <w:r>
        <w:rPr>
          <w:rFonts w:hint="eastAsia" w:ascii="Times New Roman" w:hAnsi="Times New Roman" w:eastAsia="宋体" w:cs="Times New Roman"/>
          <w:color w:val="333333"/>
          <w:kern w:val="0"/>
          <w:sz w:val="32"/>
          <w:szCs w:val="32"/>
        </w:rPr>
        <w:t>459330</w:t>
      </w:r>
      <w:r>
        <w:rPr>
          <w:rFonts w:hint="eastAsia" w:ascii="仿宋_GB2312" w:hAnsi="Times New Roman" w:eastAsia="仿宋_GB2312" w:cs="Times New Roman"/>
          <w:color w:val="333333"/>
          <w:kern w:val="0"/>
          <w:sz w:val="32"/>
          <w:szCs w:val="32"/>
        </w:rPr>
        <w:t>元；②会议费</w:t>
      </w:r>
      <w:r>
        <w:rPr>
          <w:rFonts w:hint="eastAsia" w:ascii="Times New Roman" w:hAnsi="Times New Roman" w:eastAsia="宋体" w:cs="Times New Roman"/>
          <w:color w:val="333333"/>
          <w:kern w:val="0"/>
          <w:sz w:val="32"/>
          <w:szCs w:val="32"/>
        </w:rPr>
        <w:t>41453</w:t>
      </w:r>
      <w:r>
        <w:rPr>
          <w:rFonts w:hint="eastAsia" w:ascii="仿宋_GB2312" w:hAnsi="Times New Roman" w:eastAsia="仿宋_GB2312" w:cs="Times New Roman"/>
          <w:color w:val="333333"/>
          <w:kern w:val="0"/>
          <w:sz w:val="32"/>
          <w:szCs w:val="32"/>
        </w:rPr>
        <w:t>元；③ 委托业务费</w:t>
      </w:r>
      <w:r>
        <w:rPr>
          <w:rFonts w:hint="eastAsia" w:ascii="Times New Roman" w:hAnsi="Times New Roman" w:eastAsia="宋体" w:cs="Times New Roman"/>
          <w:color w:val="333333"/>
          <w:kern w:val="0"/>
          <w:sz w:val="32"/>
          <w:szCs w:val="32"/>
        </w:rPr>
        <w:t>208000</w:t>
      </w:r>
      <w:r>
        <w:rPr>
          <w:rFonts w:hint="eastAsia" w:ascii="仿宋_GB2312" w:hAnsi="Times New Roman" w:eastAsia="仿宋_GB2312" w:cs="Times New Roman"/>
          <w:color w:val="333333"/>
          <w:kern w:val="0"/>
          <w:sz w:val="32"/>
          <w:szCs w:val="32"/>
        </w:rPr>
        <w:t>元；④公务接待费</w:t>
      </w:r>
      <w:r>
        <w:rPr>
          <w:rFonts w:hint="eastAsia" w:ascii="Times New Roman" w:hAnsi="Times New Roman" w:eastAsia="宋体" w:cs="Times New Roman"/>
          <w:color w:val="333333"/>
          <w:kern w:val="0"/>
          <w:sz w:val="32"/>
          <w:szCs w:val="32"/>
        </w:rPr>
        <w:t>14047</w:t>
      </w:r>
      <w:r>
        <w:rPr>
          <w:rFonts w:hint="eastAsia" w:ascii="仿宋_GB2312" w:hAnsi="Times New Roman" w:eastAsia="仿宋_GB2312" w:cs="Times New Roman"/>
          <w:color w:val="333333"/>
          <w:kern w:val="0"/>
          <w:sz w:val="32"/>
          <w:szCs w:val="32"/>
        </w:rPr>
        <w:t>元；⑤公务用车运行维护费</w:t>
      </w:r>
      <w:r>
        <w:rPr>
          <w:rFonts w:hint="eastAsia" w:ascii="Times New Roman" w:hAnsi="Times New Roman" w:eastAsia="宋体" w:cs="Times New Roman"/>
          <w:color w:val="333333"/>
          <w:kern w:val="0"/>
          <w:sz w:val="32"/>
          <w:szCs w:val="32"/>
        </w:rPr>
        <w:t>20000</w:t>
      </w:r>
      <w:r>
        <w:rPr>
          <w:rFonts w:hint="eastAsia" w:ascii="仿宋_GB2312" w:hAnsi="Times New Roman" w:eastAsia="仿宋_GB2312" w:cs="Times New Roman"/>
          <w:color w:val="333333"/>
          <w:kern w:val="0"/>
          <w:sz w:val="32"/>
          <w:szCs w:val="32"/>
        </w:rPr>
        <w:t>元；⑥维修(护)费</w:t>
      </w:r>
      <w:r>
        <w:rPr>
          <w:rFonts w:hint="eastAsia" w:ascii="Times New Roman" w:hAnsi="Times New Roman" w:eastAsia="宋体" w:cs="Times New Roman"/>
          <w:color w:val="333333"/>
          <w:kern w:val="0"/>
          <w:sz w:val="32"/>
          <w:szCs w:val="32"/>
        </w:rPr>
        <w:t>4000</w:t>
      </w:r>
      <w:r>
        <w:rPr>
          <w:rFonts w:hint="eastAsia" w:ascii="仿宋_GB2312" w:hAnsi="Times New Roman" w:eastAsia="仿宋_GB2312" w:cs="Times New Roman"/>
          <w:color w:val="333333"/>
          <w:kern w:val="0"/>
          <w:sz w:val="32"/>
          <w:szCs w:val="32"/>
        </w:rPr>
        <w:t>元；⑦其他商品和服务支出</w:t>
      </w:r>
      <w:r>
        <w:rPr>
          <w:rFonts w:hint="eastAsia" w:ascii="Times New Roman" w:hAnsi="Times New Roman" w:eastAsia="宋体" w:cs="Times New Roman"/>
          <w:color w:val="333333"/>
          <w:kern w:val="0"/>
          <w:sz w:val="32"/>
          <w:szCs w:val="32"/>
        </w:rPr>
        <w:t>94770</w:t>
      </w:r>
      <w:r>
        <w:rPr>
          <w:rFonts w:hint="eastAsia" w:ascii="仿宋_GB2312" w:hAnsi="Times New Roman" w:eastAsia="仿宋_GB2312" w:cs="Times New Roman"/>
          <w:color w:val="333333"/>
          <w:kern w:val="0"/>
          <w:sz w:val="32"/>
          <w:szCs w:val="32"/>
        </w:rPr>
        <w:t>元。</w:t>
      </w:r>
    </w:p>
    <w:p>
      <w:pPr>
        <w:spacing w:line="572" w:lineRule="exact"/>
        <w:ind w:right="-57" w:rightChars="-27" w:firstLine="643" w:firstLineChars="200"/>
        <w:rPr>
          <w:rFonts w:ascii="仿宋_GB2312" w:hAnsi="Times New Roman" w:eastAsia="仿宋_GB2312" w:cs="Times New Roman"/>
          <w:color w:val="333333"/>
          <w:kern w:val="0"/>
          <w:sz w:val="32"/>
          <w:szCs w:val="32"/>
        </w:rPr>
      </w:pPr>
      <w:r>
        <w:rPr>
          <w:rFonts w:hint="eastAsia" w:ascii="黑体" w:hAnsi="黑体" w:eastAsia="黑体" w:cs="Times New Roman"/>
          <w:b/>
          <w:color w:val="333333"/>
          <w:kern w:val="0"/>
          <w:sz w:val="32"/>
          <w:szCs w:val="32"/>
        </w:rPr>
        <w:t>三、</w:t>
      </w:r>
      <w:r>
        <w:rPr>
          <w:rFonts w:hint="eastAsia" w:ascii="黑体" w:hAnsi="仿宋" w:eastAsia="黑体" w:cs="宋体"/>
          <w:b/>
          <w:color w:val="000000"/>
          <w:kern w:val="0"/>
          <w:sz w:val="32"/>
          <w:szCs w:val="32"/>
        </w:rPr>
        <w:t>2020年政府性基金预算支出预算情况</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年本部门无政府性基金收支业务，因此没有相应的政府性基金收支预算。</w:t>
      </w:r>
    </w:p>
    <w:p>
      <w:pPr>
        <w:spacing w:line="572" w:lineRule="exact"/>
        <w:ind w:right="-57" w:rightChars="-27" w:firstLine="643" w:firstLineChars="200"/>
        <w:rPr>
          <w:rFonts w:ascii="黑体" w:hAnsi="黑体" w:eastAsia="黑体" w:cs="Times New Roman"/>
          <w:b/>
          <w:color w:val="333333"/>
          <w:kern w:val="0"/>
          <w:sz w:val="32"/>
          <w:szCs w:val="32"/>
        </w:rPr>
      </w:pPr>
      <w:r>
        <w:rPr>
          <w:rFonts w:hint="eastAsia" w:ascii="黑体" w:hAnsi="黑体" w:eastAsia="黑体" w:cs="Times New Roman"/>
          <w:b/>
          <w:color w:val="333333"/>
          <w:kern w:val="0"/>
          <w:sz w:val="32"/>
          <w:szCs w:val="32"/>
        </w:rPr>
        <w:t>四、2020年部门预算安排的“三公”经费预算情况</w:t>
      </w:r>
    </w:p>
    <w:p>
      <w:pPr>
        <w:widowControl/>
        <w:wordWrap w:val="0"/>
        <w:spacing w:line="555" w:lineRule="atLeast"/>
        <w:ind w:right="-57" w:rightChars="-27" w:firstLine="482" w:firstLineChars="150"/>
        <w:rPr>
          <w:rFonts w:ascii="楷体_GB2312" w:hAnsi="Times New Roman" w:eastAsia="楷体_GB2312" w:cs="Times New Roman"/>
          <w:b/>
          <w:color w:val="333333"/>
          <w:kern w:val="0"/>
          <w:sz w:val="32"/>
          <w:szCs w:val="32"/>
        </w:rPr>
      </w:pPr>
      <w:r>
        <w:rPr>
          <w:rFonts w:hint="eastAsia" w:ascii="楷体_GB2312" w:hAnsi="Times New Roman" w:eastAsia="楷体_GB2312" w:cs="Times New Roman"/>
          <w:b/>
          <w:color w:val="333333"/>
          <w:kern w:val="0"/>
          <w:sz w:val="32"/>
          <w:szCs w:val="32"/>
        </w:rPr>
        <w:t>（一）2020年部门预算全口径安排的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年部门预算全口径安排“三公”经费支出预算</w:t>
      </w:r>
      <w:r>
        <w:rPr>
          <w:rFonts w:hint="eastAsia" w:ascii="Times New Roman" w:hAnsi="Times New Roman" w:eastAsia="宋体" w:cs="Times New Roman"/>
          <w:color w:val="333333"/>
          <w:kern w:val="0"/>
          <w:sz w:val="32"/>
          <w:szCs w:val="32"/>
        </w:rPr>
        <w:t>34047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1053</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3.00 %</w:t>
      </w:r>
      <w:r>
        <w:rPr>
          <w:rFonts w:hint="eastAsia" w:ascii="仿宋_GB2312" w:hAnsi="Times New Roman" w:eastAsia="仿宋_GB2312" w:cs="Times New Roman"/>
          <w:color w:val="333333"/>
          <w:kern w:val="0"/>
          <w:sz w:val="32"/>
          <w:szCs w:val="32"/>
        </w:rPr>
        <w:t>。</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1.因公出国（境）经费支出预算0元，与去年同比无增减变化。</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2.公务接待费预算</w:t>
      </w:r>
      <w:r>
        <w:rPr>
          <w:rFonts w:hint="eastAsia" w:ascii="Times New Roman" w:hAnsi="Times New Roman" w:eastAsia="宋体" w:cs="Times New Roman"/>
          <w:color w:val="333333"/>
          <w:kern w:val="0"/>
          <w:sz w:val="32"/>
          <w:szCs w:val="32"/>
        </w:rPr>
        <w:t>14047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5953</w:t>
      </w:r>
      <w:r>
        <w:rPr>
          <w:rFonts w:hint="eastAsia" w:ascii="仿宋_GB2312" w:hAnsi="Times New Roman" w:eastAsia="仿宋_GB2312" w:cs="Times New Roman"/>
          <w:color w:val="333333"/>
          <w:kern w:val="0"/>
          <w:sz w:val="32"/>
          <w:szCs w:val="32"/>
        </w:rPr>
        <w:t>元 ，下降</w:t>
      </w:r>
      <w:r>
        <w:rPr>
          <w:rFonts w:hint="eastAsia" w:ascii="Times New Roman" w:hAnsi="Times New Roman" w:eastAsia="宋体" w:cs="Times New Roman"/>
          <w:color w:val="333333"/>
          <w:kern w:val="0"/>
          <w:sz w:val="32"/>
          <w:szCs w:val="32"/>
        </w:rPr>
        <w:t>29.77%</w:t>
      </w:r>
      <w:r>
        <w:rPr>
          <w:rFonts w:hint="eastAsia" w:ascii="仿宋_GB2312" w:hAnsi="Times New Roman" w:eastAsia="仿宋_GB2312" w:cs="Times New Roman"/>
          <w:color w:val="333333"/>
          <w:kern w:val="0"/>
          <w:sz w:val="32"/>
          <w:szCs w:val="32"/>
        </w:rPr>
        <w:t>，减少主要原因为贯彻落实八项规定要求，厉行节约，规范公务接待活动。</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3.公务用车费预算</w:t>
      </w:r>
      <w:r>
        <w:rPr>
          <w:rFonts w:hint="eastAsia" w:ascii="Times New Roman" w:hAnsi="Times New Roman" w:eastAsia="宋体" w:cs="Times New Roman"/>
          <w:color w:val="333333"/>
          <w:kern w:val="0"/>
          <w:sz w:val="32"/>
          <w:szCs w:val="32"/>
        </w:rPr>
        <w:t>20000</w:t>
      </w:r>
      <w:r>
        <w:rPr>
          <w:rFonts w:hint="eastAsia" w:ascii="仿宋_GB2312" w:hAnsi="Times New Roman" w:eastAsia="仿宋_GB2312" w:cs="Times New Roman"/>
          <w:color w:val="333333"/>
          <w:kern w:val="0"/>
          <w:sz w:val="32"/>
          <w:szCs w:val="32"/>
        </w:rPr>
        <w:t>元，同比增加</w:t>
      </w:r>
      <w:r>
        <w:rPr>
          <w:rFonts w:hint="eastAsia" w:ascii="Times New Roman" w:hAnsi="Times New Roman" w:eastAsia="宋体" w:cs="Times New Roman"/>
          <w:color w:val="333333"/>
          <w:kern w:val="0"/>
          <w:sz w:val="32"/>
          <w:szCs w:val="32"/>
        </w:rPr>
        <w:t>4900</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32.45%</w:t>
      </w:r>
      <w:r>
        <w:rPr>
          <w:rFonts w:hint="eastAsia" w:ascii="仿宋_GB2312" w:hAnsi="Times New Roman" w:eastAsia="仿宋_GB2312" w:cs="Times New Roman"/>
          <w:color w:val="333333"/>
          <w:kern w:val="0"/>
          <w:sz w:val="32"/>
          <w:szCs w:val="32"/>
        </w:rPr>
        <w:t xml:space="preserve"> 。其中：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（1）公务用车运行维护费支出预算</w:t>
      </w:r>
      <w:r>
        <w:rPr>
          <w:rFonts w:hint="eastAsia" w:ascii="Times New Roman" w:hAnsi="Times New Roman" w:eastAsia="宋体" w:cs="Times New Roman"/>
          <w:color w:val="333333"/>
          <w:kern w:val="0"/>
          <w:sz w:val="32"/>
          <w:szCs w:val="32"/>
        </w:rPr>
        <w:t>20000</w:t>
      </w:r>
      <w:r>
        <w:rPr>
          <w:rFonts w:hint="eastAsia" w:ascii="仿宋_GB2312" w:hAnsi="Times New Roman" w:eastAsia="仿宋_GB2312" w:cs="Times New Roman"/>
          <w:color w:val="333333"/>
          <w:kern w:val="0"/>
          <w:sz w:val="32"/>
          <w:szCs w:val="32"/>
        </w:rPr>
        <w:t>元，同比增加</w:t>
      </w:r>
      <w:r>
        <w:rPr>
          <w:rFonts w:hint="eastAsia" w:ascii="Times New Roman" w:hAnsi="Times New Roman" w:eastAsia="宋体" w:cs="Times New Roman"/>
          <w:color w:val="333333"/>
          <w:kern w:val="0"/>
          <w:sz w:val="32"/>
          <w:szCs w:val="32"/>
        </w:rPr>
        <w:t>4900</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32.45</w:t>
      </w:r>
      <w:r>
        <w:rPr>
          <w:rFonts w:hint="eastAsia" w:ascii="仿宋_GB2312" w:hAnsi="Times New Roman" w:eastAsia="仿宋_GB2312" w:cs="Times New Roman"/>
          <w:color w:val="333333"/>
          <w:kern w:val="0"/>
          <w:sz w:val="32"/>
          <w:szCs w:val="32"/>
        </w:rPr>
        <w:t> </w:t>
      </w:r>
      <w:r>
        <w:rPr>
          <w:rFonts w:hint="eastAsia" w:ascii="Times New Roman" w:hAnsi="Times New Roman" w:eastAsia="宋体" w:cs="Times New Roman"/>
          <w:color w:val="333333"/>
          <w:kern w:val="0"/>
          <w:sz w:val="32"/>
          <w:szCs w:val="32"/>
        </w:rPr>
        <w:t>%</w:t>
      </w:r>
      <w:r>
        <w:rPr>
          <w:rFonts w:hint="eastAsia" w:ascii="仿宋_GB2312" w:hAnsi="Times New Roman" w:eastAsia="仿宋_GB2312" w:cs="Times New Roman"/>
          <w:color w:val="333333"/>
          <w:kern w:val="0"/>
          <w:sz w:val="32"/>
          <w:szCs w:val="32"/>
        </w:rPr>
        <w:t>，增加主要原因为科普下乡宣传、科普扶贫、科普活动等增加，使维修保养费、过路费、油费及年审的商业保险等各项费用比往年有所提高。</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（2）公务用车购置费</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元，与去年同比无增减变化。</w:t>
      </w:r>
    </w:p>
    <w:p>
      <w:pPr>
        <w:widowControl/>
        <w:wordWrap w:val="0"/>
        <w:spacing w:line="555" w:lineRule="atLeast"/>
        <w:ind w:right="-57" w:rightChars="-27" w:firstLine="643" w:firstLineChars="200"/>
        <w:rPr>
          <w:rFonts w:ascii="楷体_GB2312" w:hAnsi="宋体" w:eastAsia="楷体_GB2312" w:cs="宋体"/>
          <w:b/>
          <w:color w:val="333333"/>
          <w:kern w:val="0"/>
          <w:szCs w:val="21"/>
        </w:rPr>
      </w:pPr>
      <w:r>
        <w:rPr>
          <w:rFonts w:hint="eastAsia" w:ascii="楷体_GB2312" w:hAnsi="Times New Roman" w:eastAsia="楷体_GB2312" w:cs="Times New Roman"/>
          <w:b/>
          <w:color w:val="333333"/>
          <w:kern w:val="0"/>
          <w:sz w:val="32"/>
          <w:szCs w:val="32"/>
        </w:rPr>
        <w:t>（二）2020年一般公共预算资金安排的</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三公</w:t>
      </w:r>
      <w:r>
        <w:rPr>
          <w:rFonts w:hint="eastAsia" w:ascii="楷体_GB2312" w:hAnsi="宋体" w:eastAsia="楷体_GB2312" w:cs="宋体"/>
          <w:b/>
          <w:color w:val="333333"/>
          <w:kern w:val="0"/>
          <w:sz w:val="32"/>
          <w:szCs w:val="32"/>
        </w:rPr>
        <w:t>”</w:t>
      </w:r>
      <w:r>
        <w:rPr>
          <w:rFonts w:hint="eastAsia" w:ascii="楷体_GB2312" w:hAnsi="Times New Roman" w:eastAsia="楷体_GB2312" w:cs="Times New Roman"/>
          <w:b/>
          <w:color w:val="333333"/>
          <w:kern w:val="0"/>
          <w:sz w:val="32"/>
          <w:szCs w:val="32"/>
        </w:rPr>
        <w:t>经费预算情况。</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年一般公共预算安排的“三公”经费支出预算34047元，同比减少</w:t>
      </w:r>
      <w:r>
        <w:rPr>
          <w:rFonts w:hint="eastAsia" w:ascii="Times New Roman" w:hAnsi="Times New Roman" w:eastAsia="宋体" w:cs="Times New Roman"/>
          <w:color w:val="333333"/>
          <w:kern w:val="0"/>
          <w:sz w:val="32"/>
          <w:szCs w:val="32"/>
        </w:rPr>
        <w:t>1053</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3.00 %</w:t>
      </w:r>
      <w:r>
        <w:rPr>
          <w:rFonts w:hint="eastAsia" w:ascii="仿宋_GB2312" w:hAnsi="Times New Roman" w:eastAsia="仿宋_GB2312" w:cs="Times New Roman"/>
          <w:color w:val="333333"/>
          <w:kern w:val="0"/>
          <w:sz w:val="32"/>
          <w:szCs w:val="32"/>
        </w:rPr>
        <w:t>。其中：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1.因公出国（境）经费支出预算</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元，根据财政局统一要求，各部门一般公共预算安排的因公出国（境）费不编入部门预算，执行中根据外事管理部门批准的年度出国计划申请调整支出。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2.公务接待费预算</w:t>
      </w:r>
      <w:r>
        <w:rPr>
          <w:rFonts w:hint="eastAsia" w:ascii="Times New Roman" w:hAnsi="Times New Roman" w:eastAsia="宋体" w:cs="Times New Roman"/>
          <w:color w:val="333333"/>
          <w:kern w:val="0"/>
          <w:sz w:val="32"/>
          <w:szCs w:val="32"/>
        </w:rPr>
        <w:t>14047</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5953元</w:t>
      </w:r>
      <w:r>
        <w:rPr>
          <w:rFonts w:hint="eastAsia" w:ascii="仿宋_GB2312" w:hAnsi="Times New Roman" w:eastAsia="仿宋_GB2312" w:cs="Times New Roman"/>
          <w:color w:val="333333"/>
          <w:kern w:val="0"/>
          <w:sz w:val="32"/>
          <w:szCs w:val="32"/>
        </w:rPr>
        <w:t>，下降</w:t>
      </w:r>
      <w:r>
        <w:rPr>
          <w:rFonts w:hint="eastAsia" w:ascii="Times New Roman" w:hAnsi="Times New Roman" w:eastAsia="宋体" w:cs="Times New Roman"/>
          <w:color w:val="333333"/>
          <w:kern w:val="0"/>
          <w:sz w:val="32"/>
          <w:szCs w:val="32"/>
        </w:rPr>
        <w:t>29.77%</w:t>
      </w:r>
      <w:r>
        <w:rPr>
          <w:rFonts w:hint="eastAsia" w:ascii="仿宋_GB2312" w:hAnsi="Times New Roman" w:eastAsia="仿宋_GB2312" w:cs="Times New Roman"/>
          <w:color w:val="333333"/>
          <w:kern w:val="0"/>
          <w:sz w:val="32"/>
          <w:szCs w:val="32"/>
        </w:rPr>
        <w:t>。减少主要原因为贯彻落实八项规定要求，厉行节约，规范公务接待活动。</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3.公务用车费预算</w:t>
      </w:r>
      <w:r>
        <w:rPr>
          <w:rFonts w:hint="eastAsia" w:ascii="Times New Roman" w:hAnsi="Times New Roman" w:eastAsia="宋体" w:cs="Times New Roman"/>
          <w:color w:val="333333"/>
          <w:kern w:val="0"/>
          <w:sz w:val="32"/>
          <w:szCs w:val="32"/>
        </w:rPr>
        <w:t>20000</w:t>
      </w:r>
      <w:r>
        <w:rPr>
          <w:rFonts w:hint="eastAsia" w:ascii="仿宋_GB2312" w:hAnsi="Times New Roman" w:eastAsia="仿宋_GB2312" w:cs="Times New Roman"/>
          <w:color w:val="333333"/>
          <w:kern w:val="0"/>
          <w:sz w:val="32"/>
          <w:szCs w:val="32"/>
        </w:rPr>
        <w:t>元，同比增加</w:t>
      </w:r>
      <w:r>
        <w:rPr>
          <w:rFonts w:hint="eastAsia" w:ascii="Times New Roman" w:hAnsi="Times New Roman" w:eastAsia="宋体" w:cs="Times New Roman"/>
          <w:color w:val="333333"/>
          <w:kern w:val="0"/>
          <w:sz w:val="32"/>
          <w:szCs w:val="32"/>
        </w:rPr>
        <w:t>4900</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32.45%</w:t>
      </w:r>
      <w:r>
        <w:rPr>
          <w:rFonts w:hint="eastAsia" w:ascii="仿宋_GB2312" w:hAnsi="Times New Roman" w:eastAsia="仿宋_GB2312" w:cs="Times New Roman"/>
          <w:color w:val="333333"/>
          <w:kern w:val="0"/>
          <w:sz w:val="32"/>
          <w:szCs w:val="32"/>
        </w:rPr>
        <w:t xml:space="preserve"> 。其中：</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highlight w:val="yellow"/>
        </w:rPr>
      </w:pPr>
      <w:r>
        <w:rPr>
          <w:rFonts w:hint="eastAsia" w:ascii="仿宋_GB2312" w:hAnsi="Times New Roman" w:eastAsia="仿宋_GB2312" w:cs="Times New Roman"/>
          <w:color w:val="333333"/>
          <w:kern w:val="0"/>
          <w:sz w:val="32"/>
          <w:szCs w:val="32"/>
        </w:rPr>
        <w:t>（1）公务用车运行维护费预算</w:t>
      </w:r>
      <w:r>
        <w:rPr>
          <w:rFonts w:hint="eastAsia" w:ascii="Times New Roman" w:hAnsi="Times New Roman" w:eastAsia="宋体" w:cs="Times New Roman"/>
          <w:color w:val="333333"/>
          <w:kern w:val="0"/>
          <w:sz w:val="32"/>
          <w:szCs w:val="32"/>
        </w:rPr>
        <w:t>20000</w:t>
      </w:r>
      <w:r>
        <w:rPr>
          <w:rFonts w:hint="eastAsia" w:ascii="仿宋_GB2312" w:hAnsi="Times New Roman" w:eastAsia="仿宋_GB2312" w:cs="Times New Roman"/>
          <w:color w:val="333333"/>
          <w:kern w:val="0"/>
          <w:sz w:val="32"/>
          <w:szCs w:val="32"/>
        </w:rPr>
        <w:t>元，同比增加</w:t>
      </w:r>
      <w:r>
        <w:rPr>
          <w:rFonts w:hint="eastAsia" w:ascii="Times New Roman" w:hAnsi="Times New Roman" w:eastAsia="宋体" w:cs="Times New Roman"/>
          <w:color w:val="333333"/>
          <w:kern w:val="0"/>
          <w:sz w:val="32"/>
          <w:szCs w:val="32"/>
        </w:rPr>
        <w:t>4900</w:t>
      </w:r>
      <w:r>
        <w:rPr>
          <w:rFonts w:hint="eastAsia" w:ascii="仿宋_GB2312" w:hAnsi="Times New Roman" w:eastAsia="仿宋_GB2312" w:cs="Times New Roman"/>
          <w:color w:val="333333"/>
          <w:kern w:val="0"/>
          <w:sz w:val="32"/>
          <w:szCs w:val="32"/>
        </w:rPr>
        <w:t>元，增长</w:t>
      </w:r>
      <w:r>
        <w:rPr>
          <w:rFonts w:hint="eastAsia" w:ascii="Times New Roman" w:hAnsi="Times New Roman" w:eastAsia="宋体" w:cs="Times New Roman"/>
          <w:color w:val="333333"/>
          <w:kern w:val="0"/>
          <w:sz w:val="32"/>
          <w:szCs w:val="32"/>
        </w:rPr>
        <w:t>32.45%</w:t>
      </w:r>
      <w:r>
        <w:rPr>
          <w:rFonts w:hint="eastAsia" w:ascii="仿宋_GB2312" w:hAnsi="Times New Roman" w:eastAsia="仿宋_GB2312" w:cs="Times New Roman"/>
          <w:color w:val="333333"/>
          <w:kern w:val="0"/>
          <w:sz w:val="32"/>
          <w:szCs w:val="32"/>
        </w:rPr>
        <w:t>。增加主要原因为科普下乡宣传、科普扶贫、科普活动等增加，使维修保养费、过路费、油费及年审的商业保险等各项费用比往年有所提高。</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（2）公务用车购置预算</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元，与去年同比无增减变化。</w:t>
      </w:r>
    </w:p>
    <w:p>
      <w:pPr>
        <w:widowControl/>
        <w:wordWrap w:val="0"/>
        <w:spacing w:line="555" w:lineRule="atLeast"/>
        <w:ind w:right="-57" w:rightChars="-27" w:firstLine="630" w:firstLineChars="196"/>
        <w:rPr>
          <w:rFonts w:ascii="黑体" w:hAnsi="仿宋" w:eastAsia="黑体" w:cs="宋体"/>
          <w:b/>
          <w:color w:val="000000"/>
          <w:kern w:val="0"/>
          <w:sz w:val="32"/>
          <w:szCs w:val="32"/>
        </w:rPr>
      </w:pPr>
      <w:r>
        <w:rPr>
          <w:rFonts w:hint="eastAsia" w:ascii="黑体" w:hAnsi="仿宋" w:eastAsia="黑体" w:cs="宋体"/>
          <w:b/>
          <w:color w:val="000000"/>
          <w:kern w:val="0"/>
          <w:sz w:val="32"/>
          <w:szCs w:val="32"/>
        </w:rPr>
        <w:t>五、2020年部门预算其他事项说明</w:t>
      </w:r>
    </w:p>
    <w:p>
      <w:pPr>
        <w:widowControl/>
        <w:wordWrap w:val="0"/>
        <w:spacing w:line="555" w:lineRule="atLeast"/>
        <w:ind w:right="-57" w:rightChars="-27" w:firstLine="643" w:firstLineChars="200"/>
        <w:rPr>
          <w:rFonts w:ascii="仿宋_GB2312" w:eastAsia="仿宋_GB2312"/>
          <w:b/>
          <w:sz w:val="32"/>
          <w:szCs w:val="32"/>
        </w:rPr>
      </w:pPr>
      <w:r>
        <w:rPr>
          <w:rFonts w:hint="eastAsia" w:ascii="楷体_GB2312" w:hAnsi="Times New Roman" w:eastAsia="楷体_GB2312" w:cs="Times New Roman"/>
          <w:b/>
          <w:color w:val="333333"/>
          <w:kern w:val="0"/>
          <w:sz w:val="32"/>
          <w:szCs w:val="32"/>
        </w:rPr>
        <w:t>（一）机关运行经费预算安排情况。</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梧州市科学技术协会本级及下属单位共有</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个行政机关和1个参照公务员法管理的事业单位，机关运行经费财政拨款预算</w:t>
      </w:r>
      <w:r>
        <w:rPr>
          <w:rFonts w:hint="eastAsia" w:ascii="Times New Roman" w:hAnsi="Times New Roman" w:eastAsia="宋体" w:cs="Times New Roman"/>
          <w:color w:val="333333"/>
          <w:kern w:val="0"/>
          <w:sz w:val="32"/>
          <w:szCs w:val="32"/>
        </w:rPr>
        <w:t>841600</w:t>
      </w:r>
      <w:r>
        <w:rPr>
          <w:rFonts w:hint="eastAsia" w:ascii="仿宋_GB2312" w:hAnsi="Times New Roman" w:eastAsia="仿宋_GB2312" w:cs="Times New Roman"/>
          <w:color w:val="333333"/>
          <w:kern w:val="0"/>
          <w:sz w:val="32"/>
          <w:szCs w:val="32"/>
        </w:rPr>
        <w:t>元，较去年预算减少</w:t>
      </w:r>
      <w:r>
        <w:rPr>
          <w:rFonts w:hint="eastAsia" w:ascii="Times New Roman" w:hAnsi="Times New Roman" w:eastAsia="宋体" w:cs="Times New Roman"/>
          <w:color w:val="333333"/>
          <w:kern w:val="0"/>
          <w:sz w:val="32"/>
          <w:szCs w:val="32"/>
        </w:rPr>
        <w:t>264040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23.88%</w:t>
      </w:r>
      <w:r>
        <w:rPr>
          <w:rFonts w:hint="eastAsia" w:ascii="仿宋_GB2312" w:hAnsi="Times New Roman" w:eastAsia="仿宋_GB2312" w:cs="Times New Roman"/>
          <w:color w:val="333333"/>
          <w:kern w:val="0"/>
          <w:sz w:val="32"/>
          <w:szCs w:val="32"/>
        </w:rPr>
        <w:t>，主要原因是减少搬迁经费、机器人比赛经费。主要用于办公费、印刷费、水电费、培训费、差旅费、会议费等日常公用经费支出。</w:t>
      </w:r>
    </w:p>
    <w:p>
      <w:pPr>
        <w:tabs>
          <w:tab w:val="center" w:pos="4475"/>
        </w:tabs>
        <w:spacing w:line="580" w:lineRule="exact"/>
        <w:ind w:firstLine="643" w:firstLineChars="200"/>
        <w:rPr>
          <w:rFonts w:ascii="仿宋_GB2312" w:hAnsi="宋体" w:eastAsia="仿宋_GB2312" w:cs="宋体"/>
          <w:color w:val="333333"/>
          <w:kern w:val="0"/>
          <w:szCs w:val="21"/>
        </w:rPr>
      </w:pPr>
      <w:r>
        <w:rPr>
          <w:rFonts w:hint="eastAsia" w:ascii="楷体_GB2312" w:hAnsi="Times New Roman" w:eastAsia="楷体_GB2312" w:cs="Times New Roman"/>
          <w:b/>
          <w:color w:val="333333"/>
          <w:kern w:val="0"/>
          <w:sz w:val="32"/>
          <w:szCs w:val="32"/>
        </w:rPr>
        <w:t>（二）政府采购预算安排情况</w:t>
      </w:r>
      <w:r>
        <w:rPr>
          <w:rFonts w:hint="eastAsia" w:ascii="仿宋_GB2312" w:hAnsi="Times New Roman" w:eastAsia="仿宋_GB2312" w:cs="Times New Roman"/>
          <w:color w:val="333333"/>
          <w:kern w:val="0"/>
          <w:sz w:val="32"/>
          <w:szCs w:val="32"/>
        </w:rPr>
        <w:t>。</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Times New Roman" w:hAnsi="Times New Roman" w:eastAsia="宋体" w:cs="Times New Roman"/>
          <w:color w:val="333333"/>
          <w:kern w:val="0"/>
          <w:sz w:val="32"/>
          <w:szCs w:val="32"/>
        </w:rPr>
        <w:t>2020</w:t>
      </w:r>
      <w:r>
        <w:rPr>
          <w:rFonts w:hint="eastAsia" w:ascii="仿宋_GB2312" w:hAnsi="Times New Roman" w:eastAsia="仿宋_GB2312" w:cs="Times New Roman"/>
          <w:color w:val="333333"/>
          <w:kern w:val="0"/>
          <w:sz w:val="32"/>
          <w:szCs w:val="32"/>
        </w:rPr>
        <w:t>年政府采购预算</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元，同比减少</w:t>
      </w:r>
      <w:r>
        <w:rPr>
          <w:rFonts w:hint="eastAsia" w:ascii="Times New Roman" w:hAnsi="Times New Roman" w:eastAsia="宋体" w:cs="Times New Roman"/>
          <w:color w:val="333333"/>
          <w:kern w:val="0"/>
          <w:sz w:val="32"/>
          <w:szCs w:val="32"/>
        </w:rPr>
        <w:t>7000</w:t>
      </w:r>
      <w:r>
        <w:rPr>
          <w:rFonts w:hint="eastAsia" w:ascii="仿宋_GB2312" w:hAnsi="Times New Roman" w:eastAsia="仿宋_GB2312" w:cs="Times New Roman"/>
          <w:color w:val="333333"/>
          <w:kern w:val="0"/>
          <w:sz w:val="32"/>
          <w:szCs w:val="32"/>
        </w:rPr>
        <w:t>元，下降</w:t>
      </w:r>
      <w:r>
        <w:rPr>
          <w:rFonts w:hint="eastAsia" w:ascii="Times New Roman" w:hAnsi="Times New Roman" w:eastAsia="宋体" w:cs="Times New Roman"/>
          <w:color w:val="333333"/>
          <w:kern w:val="0"/>
          <w:sz w:val="32"/>
          <w:szCs w:val="32"/>
        </w:rPr>
        <w:t>100 </w:t>
      </w:r>
      <w:r>
        <w:rPr>
          <w:rFonts w:hint="eastAsia" w:ascii="仿宋_GB2312" w:hAnsi="Times New Roman" w:eastAsia="仿宋_GB2312" w:cs="Times New Roman"/>
          <w:color w:val="333333"/>
          <w:kern w:val="0"/>
          <w:sz w:val="32"/>
          <w:szCs w:val="32"/>
        </w:rPr>
        <w:t>%。按采购资金类型划分，一般公共预算拨款</w:t>
      </w:r>
      <w:r>
        <w:rPr>
          <w:rFonts w:hint="eastAsia" w:ascii="Times New Roman" w:hAnsi="Times New Roman" w:eastAsia="宋体" w:cs="Times New Roman"/>
          <w:color w:val="333333"/>
          <w:kern w:val="0"/>
          <w:sz w:val="32"/>
          <w:szCs w:val="32"/>
        </w:rPr>
        <w:t>0元</w:t>
      </w:r>
      <w:r>
        <w:rPr>
          <w:rFonts w:hint="eastAsia" w:ascii="仿宋_GB2312" w:hAnsi="Times New Roman" w:eastAsia="仿宋_GB2312" w:cs="Times New Roman"/>
          <w:color w:val="333333"/>
          <w:kern w:val="0"/>
          <w:sz w:val="32"/>
          <w:szCs w:val="32"/>
        </w:rPr>
        <w:t>，纳入财政专户管理的收入安排的资金</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元，上年结余收入安排的资金0元。按采购项目类型划分，集中采购</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元，其中：货物类采购0元、工程类采购</w:t>
      </w:r>
      <w:r>
        <w:rPr>
          <w:rFonts w:hint="eastAsia" w:ascii="Times New Roman" w:hAnsi="Times New Roman" w:eastAsia="宋体" w:cs="Times New Roman"/>
          <w:color w:val="333333"/>
          <w:kern w:val="0"/>
          <w:sz w:val="32"/>
          <w:szCs w:val="32"/>
        </w:rPr>
        <w:t>0</w:t>
      </w:r>
      <w:r>
        <w:rPr>
          <w:rFonts w:hint="eastAsia" w:ascii="仿宋_GB2312" w:hAnsi="Times New Roman" w:eastAsia="仿宋_GB2312" w:cs="Times New Roman"/>
          <w:color w:val="333333"/>
          <w:kern w:val="0"/>
          <w:sz w:val="32"/>
          <w:szCs w:val="32"/>
        </w:rPr>
        <w:t>元、服务类采购0元；分散采购0元，其中：货物类采购0元、工程类采购0元、服务类采购0元。</w:t>
      </w:r>
    </w:p>
    <w:p>
      <w:pPr>
        <w:autoSpaceDE w:val="0"/>
        <w:autoSpaceDN w:val="0"/>
        <w:adjustRightInd w:val="0"/>
        <w:spacing w:line="600" w:lineRule="exact"/>
        <w:ind w:right="-57" w:rightChars="-27" w:firstLine="643" w:firstLineChars="200"/>
        <w:rPr>
          <w:rFonts w:ascii="楷体_GB2312" w:hAnsi="Times New Roman" w:eastAsia="楷体_GB2312" w:cs="Times New Roman"/>
          <w:b/>
          <w:color w:val="333333"/>
          <w:kern w:val="0"/>
          <w:sz w:val="32"/>
          <w:szCs w:val="32"/>
        </w:rPr>
      </w:pPr>
      <w:r>
        <w:rPr>
          <w:rFonts w:hint="eastAsia" w:ascii="楷体_GB2312" w:hAnsi="Times New Roman" w:eastAsia="楷体_GB2312" w:cs="Times New Roman"/>
          <w:b/>
          <w:color w:val="333333"/>
          <w:kern w:val="0"/>
          <w:sz w:val="32"/>
          <w:szCs w:val="32"/>
        </w:rPr>
        <w:t>（三）国有资产的总体情况。</w:t>
      </w:r>
    </w:p>
    <w:p>
      <w:pPr>
        <w:autoSpaceDE w:val="0"/>
        <w:autoSpaceDN w:val="0"/>
        <w:adjustRightInd w:val="0"/>
        <w:spacing w:line="600" w:lineRule="exact"/>
        <w:ind w:right="-57" w:rightChars="-27" w:firstLine="640" w:firstLineChars="200"/>
        <w:rPr>
          <w:rFonts w:ascii="Times New Roman" w:hAnsi="Times New Roman" w:eastAsia="宋体" w:cs="Times New Roman"/>
          <w:b/>
          <w:color w:val="333333"/>
          <w:kern w:val="0"/>
          <w:sz w:val="32"/>
          <w:szCs w:val="32"/>
        </w:rPr>
      </w:pPr>
      <w:r>
        <w:rPr>
          <w:rFonts w:hint="eastAsia" w:ascii="仿宋_GB2312" w:hAnsi="Times New Roman" w:eastAsia="仿宋_GB2312" w:cs="Times New Roman"/>
          <w:color w:val="333333"/>
          <w:kern w:val="0"/>
          <w:sz w:val="32"/>
          <w:szCs w:val="32"/>
        </w:rPr>
        <w:t>本部门共有车辆1辆，其中：一般公务用车0辆、一般执法执勤用车0辆、特种专业技术用车1辆、其他用车0辆。</w:t>
      </w:r>
    </w:p>
    <w:p>
      <w:pPr>
        <w:autoSpaceDE w:val="0"/>
        <w:autoSpaceDN w:val="0"/>
        <w:adjustRightInd w:val="0"/>
        <w:spacing w:line="600" w:lineRule="exact"/>
        <w:ind w:right="-57" w:rightChars="-27" w:firstLine="640" w:firstLineChars="200"/>
        <w:rPr>
          <w:rFonts w:ascii="仿宋_GB2312" w:hAnsi="Times New Roman" w:eastAsia="仿宋_GB2312" w:cs="Times New Roman"/>
          <w:b/>
          <w:color w:val="333333"/>
          <w:kern w:val="0"/>
          <w:sz w:val="32"/>
          <w:szCs w:val="32"/>
        </w:rPr>
      </w:pPr>
      <w:r>
        <w:rPr>
          <w:rFonts w:hint="eastAsia" w:ascii="仿宋_GB2312" w:hAnsi="Times New Roman" w:eastAsia="仿宋_GB2312" w:cs="Times New Roman"/>
          <w:color w:val="333333"/>
          <w:kern w:val="0"/>
          <w:sz w:val="32"/>
          <w:szCs w:val="32"/>
        </w:rPr>
        <w:t>截至2019年12月31日，资产原值合计200.53万元，其中：（1）土地、房屋及构筑物70.02万元，（2）通用设备100.14 万元，（3）专用设备16.33万元，（4）文物和陈列品0万元，（5）图书档案1.54万元，（6）家具、用具、装具等12.50万元。</w:t>
      </w:r>
    </w:p>
    <w:p>
      <w:pPr>
        <w:autoSpaceDE w:val="0"/>
        <w:autoSpaceDN w:val="0"/>
        <w:adjustRightInd w:val="0"/>
        <w:spacing w:line="600" w:lineRule="exact"/>
        <w:ind w:right="-57" w:rightChars="-27" w:firstLine="643" w:firstLineChars="200"/>
        <w:rPr>
          <w:rFonts w:ascii="仿宋_GB2312" w:hAnsi="Times New Roman" w:eastAsia="仿宋_GB2312" w:cs="Times New Roman"/>
          <w:b/>
          <w:color w:val="333333"/>
          <w:kern w:val="0"/>
          <w:sz w:val="32"/>
          <w:szCs w:val="32"/>
        </w:rPr>
      </w:pPr>
      <w:r>
        <w:rPr>
          <w:rFonts w:hint="eastAsia" w:ascii="楷体_GB2312" w:hAnsi="Times New Roman" w:eastAsia="楷体_GB2312" w:cs="Times New Roman"/>
          <w:b/>
          <w:color w:val="333333"/>
          <w:kern w:val="0"/>
          <w:sz w:val="32"/>
          <w:szCs w:val="32"/>
        </w:rPr>
        <w:t>（四）预算绩效说明。</w:t>
      </w:r>
    </w:p>
    <w:p>
      <w:pPr>
        <w:autoSpaceDE w:val="0"/>
        <w:autoSpaceDN w:val="0"/>
        <w:adjustRightInd w:val="0"/>
        <w:spacing w:line="600" w:lineRule="exact"/>
        <w:ind w:right="-57" w:rightChars="-27" w:firstLine="640" w:firstLineChars="200"/>
        <w:rPr>
          <w:rFonts w:ascii="方正黑体_GBK" w:eastAsia="方正黑体_GBK"/>
          <w:color w:val="000000"/>
          <w:kern w:val="0"/>
          <w:sz w:val="32"/>
          <w:szCs w:val="32"/>
        </w:rPr>
      </w:pPr>
      <w:r>
        <w:rPr>
          <w:rFonts w:hint="eastAsia" w:ascii="方正黑体_GBK" w:eastAsia="方正黑体_GBK"/>
          <w:color w:val="000000"/>
          <w:kern w:val="0"/>
          <w:sz w:val="32"/>
          <w:szCs w:val="32"/>
        </w:rPr>
        <w:t>2020年本部门无其他专项支出项目预算，故未制定项目绩效目标。</w:t>
      </w:r>
    </w:p>
    <w:p>
      <w:pPr>
        <w:autoSpaceDE w:val="0"/>
        <w:autoSpaceDN w:val="0"/>
        <w:adjustRightInd w:val="0"/>
        <w:spacing w:line="600" w:lineRule="exact"/>
        <w:ind w:right="-57" w:rightChars="-27" w:firstLine="643" w:firstLineChars="200"/>
        <w:rPr>
          <w:rFonts w:ascii="方正黑体_GBK" w:eastAsia="方正黑体_GBK"/>
          <w:color w:val="000000"/>
          <w:kern w:val="0"/>
          <w:sz w:val="32"/>
          <w:szCs w:val="32"/>
        </w:rPr>
      </w:pPr>
      <w:r>
        <w:rPr>
          <w:rFonts w:hint="eastAsia" w:ascii="楷体_GB2312" w:hAnsi="Times New Roman" w:eastAsia="楷体_GB2312" w:cs="Times New Roman"/>
          <w:b/>
          <w:color w:val="333333"/>
          <w:kern w:val="0"/>
          <w:sz w:val="32"/>
          <w:szCs w:val="32"/>
        </w:rPr>
        <w:t>（五）国有资本经营预算收支情况说明</w:t>
      </w:r>
    </w:p>
    <w:p>
      <w:pPr>
        <w:widowControl/>
        <w:wordWrap w:val="0"/>
        <w:spacing w:line="555" w:lineRule="atLeast"/>
        <w:ind w:right="-57" w:rightChars="-27" w:firstLine="640" w:firstLineChars="200"/>
        <w:rPr>
          <w:rFonts w:ascii="仿宋_GB2312" w:hAnsi="Times New Roman" w:eastAsia="仿宋_GB2312" w:cs="Times New Roman"/>
          <w:color w:val="333333"/>
          <w:kern w:val="0"/>
          <w:sz w:val="32"/>
          <w:szCs w:val="32"/>
          <w:highlight w:val="red"/>
        </w:rPr>
      </w:pPr>
      <w:r>
        <w:rPr>
          <w:rFonts w:hint="eastAsia" w:ascii="仿宋_GB2312" w:hAnsi="Times New Roman" w:eastAsia="仿宋_GB2312" w:cs="Times New Roman"/>
          <w:color w:val="333333"/>
          <w:kern w:val="0"/>
          <w:sz w:val="32"/>
          <w:szCs w:val="32"/>
        </w:rPr>
        <w:t>2020年本部门无国有资本经营预算收支业务，因此没有相应的国有资本经营收支预算。</w:t>
      </w:r>
    </w:p>
    <w:p>
      <w:r>
        <w:rPr>
          <w:rFonts w:hint="eastAsia" w:ascii="黑体" w:hAnsi="仿宋" w:eastAsia="黑体" w:cs="宋体"/>
          <w:b/>
          <w:color w:val="333333"/>
          <w:kern w:val="0"/>
          <w:sz w:val="32"/>
          <w:szCs w:val="32"/>
        </w:rPr>
        <w:t>第四部分：专业名词解释</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2.事业收入：指事业单位开展专业业务活动及辅助活动所取得的收入。</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3.事业单位经营收入：指事业单位在专业业务活动及其辅助 活动之外开展非独立核算经营活动取得的收入。</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4.其他收入：指除上述“财政拨款收入”、“事业收入”、“事业单位经营收入”等以外的收入。</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6.上年结转：指以前年度尚未完成、结转到本年仍按原规定用途继续使用的资金。</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7．基本支出：指为保障机构正常运转、完成日常工作任务而发生的人员经费和日常公用经费。</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8．项目支出：指在基本支出之外为完成特定行政任务和事业发展目标所发生的支出。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9．事业单位经营支出：指事业单位在专业业务活动及其辅助 活动之外开展非独立核算经营活动发生的支出。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hint="eastAsia" w:ascii="仿宋_GB2312" w:hAnsi="Times New Roman" w:eastAsia="仿宋_GB2312" w:cs="Times New Roman"/>
          <w:color w:val="333333"/>
          <w:kern w:val="0"/>
          <w:sz w:val="32"/>
          <w:szCs w:val="32"/>
        </w:rPr>
        <w:t>12.科学技术支出：反映科学技术方面的支出。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①科学技术管理事务：反映科学技术管理事务方面的支出。包括提供后勤服务的各类后勤服务中心、医务室等附属事业单位的支出。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②技术研究与开发：机构运行反映用于技术研究与开发等方面的支出，主要反映社会公益研究机构日常运转和各项科技活动工作等方面的支出。其他技术研究与开发主要反映基本支出之外为完成特定的行政任务或事业发展目标所发生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③科学技术普及：机构运行反映科学技术普及方面的基本支出。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④科普活动：反映用于开展科普活动的支出。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⑤青少年科技活动：反映用于开展青少年科技活动的支出。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r>
        <w:rPr>
          <w:rFonts w:ascii="仿宋_GB2312" w:hAnsi="Times New Roman" w:eastAsia="仿宋_GB2312" w:cs="Times New Roman"/>
          <w:color w:val="333333"/>
          <w:kern w:val="0"/>
          <w:sz w:val="32"/>
          <w:szCs w:val="32"/>
        </w:rPr>
        <w:t>⑥其他科学技术普及支出：反映除上述项目以外其他用于科学普及方面的支出。</w:t>
      </w:r>
    </w:p>
    <w:p>
      <w:pPr>
        <w:tabs>
          <w:tab w:val="center" w:pos="4475"/>
        </w:tabs>
        <w:spacing w:line="572" w:lineRule="exact"/>
        <w:ind w:right="-57" w:rightChars="-27" w:firstLine="640" w:firstLineChars="200"/>
        <w:rPr>
          <w:rFonts w:ascii="仿宋_GB2312" w:hAnsi="Times New Roman" w:eastAsia="仿宋_GB2312" w:cs="Times New Roman"/>
          <w:color w:val="333333"/>
          <w:kern w:val="0"/>
          <w:sz w:val="32"/>
          <w:szCs w:val="32"/>
        </w:rPr>
      </w:pPr>
    </w:p>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23985"/>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A5EB"/>
    <w:multiLevelType w:val="singleLevel"/>
    <w:tmpl w:val="3C7CA5EB"/>
    <w:lvl w:ilvl="0" w:tentative="0">
      <w:start w:val="4"/>
      <w:numFmt w:val="chineseCounting"/>
      <w:suff w:val="nothing"/>
      <w:lvlText w:val="%1、"/>
      <w:lvlJc w:val="left"/>
      <w:rPr>
        <w:rFonts w:hint="eastAsia"/>
      </w:rPr>
    </w:lvl>
  </w:abstractNum>
  <w:abstractNum w:abstractNumId="1">
    <w:nsid w:val="5B644650"/>
    <w:multiLevelType w:val="singleLevel"/>
    <w:tmpl w:val="5B64465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19FD"/>
    <w:rsid w:val="00005ACE"/>
    <w:rsid w:val="000440BF"/>
    <w:rsid w:val="000945ED"/>
    <w:rsid w:val="000A03BD"/>
    <w:rsid w:val="000C79B8"/>
    <w:rsid w:val="000D6785"/>
    <w:rsid w:val="000D69CE"/>
    <w:rsid w:val="001061BC"/>
    <w:rsid w:val="001069F3"/>
    <w:rsid w:val="001945EC"/>
    <w:rsid w:val="001A110D"/>
    <w:rsid w:val="001A27CE"/>
    <w:rsid w:val="001C5FCB"/>
    <w:rsid w:val="002605BD"/>
    <w:rsid w:val="0028279F"/>
    <w:rsid w:val="002E52BF"/>
    <w:rsid w:val="002F160C"/>
    <w:rsid w:val="00320D3C"/>
    <w:rsid w:val="00327F8C"/>
    <w:rsid w:val="003301DE"/>
    <w:rsid w:val="00371D0C"/>
    <w:rsid w:val="005208DC"/>
    <w:rsid w:val="00585D20"/>
    <w:rsid w:val="00641F0F"/>
    <w:rsid w:val="00686D6A"/>
    <w:rsid w:val="006C48DA"/>
    <w:rsid w:val="006D0D93"/>
    <w:rsid w:val="007503E5"/>
    <w:rsid w:val="007746FF"/>
    <w:rsid w:val="00781FDC"/>
    <w:rsid w:val="00792BDE"/>
    <w:rsid w:val="00952381"/>
    <w:rsid w:val="00960833"/>
    <w:rsid w:val="0096123B"/>
    <w:rsid w:val="009E0660"/>
    <w:rsid w:val="00A31AC2"/>
    <w:rsid w:val="00AC300A"/>
    <w:rsid w:val="00AE7D10"/>
    <w:rsid w:val="00AF4F19"/>
    <w:rsid w:val="00B45C53"/>
    <w:rsid w:val="00C31F32"/>
    <w:rsid w:val="00CA68E7"/>
    <w:rsid w:val="00D56E73"/>
    <w:rsid w:val="00D851EA"/>
    <w:rsid w:val="00DD075F"/>
    <w:rsid w:val="00E22C6C"/>
    <w:rsid w:val="00E43D10"/>
    <w:rsid w:val="00E707D6"/>
    <w:rsid w:val="00EC0C33"/>
    <w:rsid w:val="00EC3D63"/>
    <w:rsid w:val="00EE19FD"/>
    <w:rsid w:val="00EE28FA"/>
    <w:rsid w:val="00F01767"/>
    <w:rsid w:val="00F5498D"/>
    <w:rsid w:val="01360A71"/>
    <w:rsid w:val="014A4B34"/>
    <w:rsid w:val="0156415E"/>
    <w:rsid w:val="022A139A"/>
    <w:rsid w:val="03F64468"/>
    <w:rsid w:val="05213A5B"/>
    <w:rsid w:val="07CD530D"/>
    <w:rsid w:val="099E3699"/>
    <w:rsid w:val="09C20B34"/>
    <w:rsid w:val="0A8803A1"/>
    <w:rsid w:val="0E9B1315"/>
    <w:rsid w:val="0F37220E"/>
    <w:rsid w:val="12E96FC8"/>
    <w:rsid w:val="13FA4DC0"/>
    <w:rsid w:val="15377590"/>
    <w:rsid w:val="17A16C4D"/>
    <w:rsid w:val="1F9C6A98"/>
    <w:rsid w:val="294B0FDD"/>
    <w:rsid w:val="2AB83416"/>
    <w:rsid w:val="2BD421BC"/>
    <w:rsid w:val="2C804A3C"/>
    <w:rsid w:val="2E4C2255"/>
    <w:rsid w:val="30265807"/>
    <w:rsid w:val="31613ACC"/>
    <w:rsid w:val="320E06EF"/>
    <w:rsid w:val="33D3471E"/>
    <w:rsid w:val="353B0B7D"/>
    <w:rsid w:val="364F5E25"/>
    <w:rsid w:val="37097A5D"/>
    <w:rsid w:val="377B6704"/>
    <w:rsid w:val="3AC33566"/>
    <w:rsid w:val="3B1804B7"/>
    <w:rsid w:val="3BCF39A6"/>
    <w:rsid w:val="3C1305A6"/>
    <w:rsid w:val="3C4D0996"/>
    <w:rsid w:val="3C544278"/>
    <w:rsid w:val="40181D88"/>
    <w:rsid w:val="433F6FC4"/>
    <w:rsid w:val="437278BE"/>
    <w:rsid w:val="43830158"/>
    <w:rsid w:val="46776506"/>
    <w:rsid w:val="46DC512B"/>
    <w:rsid w:val="48E8572D"/>
    <w:rsid w:val="48F42179"/>
    <w:rsid w:val="4AA05F51"/>
    <w:rsid w:val="4FCD6058"/>
    <w:rsid w:val="50EE54AC"/>
    <w:rsid w:val="50F4182B"/>
    <w:rsid w:val="54D15BFA"/>
    <w:rsid w:val="55E94762"/>
    <w:rsid w:val="595356F0"/>
    <w:rsid w:val="59B74439"/>
    <w:rsid w:val="5A4566B0"/>
    <w:rsid w:val="5B5E1D1F"/>
    <w:rsid w:val="5D0547E0"/>
    <w:rsid w:val="5E6415CF"/>
    <w:rsid w:val="5EAA1A10"/>
    <w:rsid w:val="5FC32F28"/>
    <w:rsid w:val="5FC84A9C"/>
    <w:rsid w:val="6088450B"/>
    <w:rsid w:val="657D18B0"/>
    <w:rsid w:val="681038B3"/>
    <w:rsid w:val="6CA410B5"/>
    <w:rsid w:val="6EB10070"/>
    <w:rsid w:val="6F221813"/>
    <w:rsid w:val="70541963"/>
    <w:rsid w:val="70B12B61"/>
    <w:rsid w:val="72B64BDC"/>
    <w:rsid w:val="73AA1D50"/>
    <w:rsid w:val="75C93729"/>
    <w:rsid w:val="765D20D4"/>
    <w:rsid w:val="786903AB"/>
    <w:rsid w:val="7D20721D"/>
    <w:rsid w:val="7D496A61"/>
    <w:rsid w:val="7E6B1C88"/>
    <w:rsid w:val="7E86129B"/>
    <w:rsid w:val="7EE123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annotation text"/>
    <w:basedOn w:val="1"/>
    <w:semiHidden/>
    <w:unhideWhenUsed/>
    <w:qFormat/>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jc w:val="left"/>
    </w:pPr>
    <w:rPr>
      <w:rFonts w:cs="Times New Roman"/>
      <w:kern w:val="0"/>
      <w:sz w:val="24"/>
    </w:rPr>
  </w:style>
  <w:style w:type="character" w:styleId="10">
    <w:name w:val="Strong"/>
    <w:basedOn w:val="9"/>
    <w:qFormat/>
    <w:uiPriority w:val="22"/>
    <w:rPr>
      <w:u w:val="none"/>
    </w:rPr>
  </w:style>
  <w:style w:type="character" w:styleId="11">
    <w:name w:val="page number"/>
    <w:basedOn w:val="9"/>
    <w:qFormat/>
    <w:uiPriority w:val="0"/>
  </w:style>
  <w:style w:type="character" w:styleId="12">
    <w:name w:val="FollowedHyperlink"/>
    <w:basedOn w:val="9"/>
    <w:semiHidden/>
    <w:unhideWhenUsed/>
    <w:qFormat/>
    <w:uiPriority w:val="99"/>
    <w:rPr>
      <w:color w:val="333333"/>
      <w:sz w:val="21"/>
      <w:szCs w:val="21"/>
      <w:u w:val="none"/>
    </w:rPr>
  </w:style>
  <w:style w:type="character" w:styleId="13">
    <w:name w:val="Emphasis"/>
    <w:basedOn w:val="9"/>
    <w:qFormat/>
    <w:uiPriority w:val="20"/>
    <w:rPr>
      <w:u w:val="none"/>
    </w:rPr>
  </w:style>
  <w:style w:type="character" w:styleId="14">
    <w:name w:val="Hyperlink"/>
    <w:basedOn w:val="9"/>
    <w:semiHidden/>
    <w:unhideWhenUsed/>
    <w:qFormat/>
    <w:uiPriority w:val="99"/>
    <w:rPr>
      <w:color w:val="333333"/>
      <w:sz w:val="21"/>
      <w:szCs w:val="21"/>
      <w:u w:val="none"/>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 w:type="character" w:customStyle="1" w:styleId="17">
    <w:name w:val="页眉 Char"/>
    <w:basedOn w:val="9"/>
    <w:link w:val="6"/>
    <w:semiHidden/>
    <w:qFormat/>
    <w:uiPriority w:val="99"/>
    <w:rPr>
      <w:sz w:val="18"/>
      <w:szCs w:val="18"/>
    </w:rPr>
  </w:style>
  <w:style w:type="character" w:customStyle="1" w:styleId="18">
    <w:name w:val="页脚 Char"/>
    <w:basedOn w:val="9"/>
    <w:link w:val="5"/>
    <w:qFormat/>
    <w:uiPriority w:val="99"/>
    <w:rPr>
      <w:sz w:val="18"/>
      <w:szCs w:val="18"/>
    </w:rPr>
  </w:style>
  <w:style w:type="paragraph" w:customStyle="1" w:styleId="19">
    <w:name w:val="Char Char Char Char Char Char Char"/>
    <w:basedOn w:val="1"/>
    <w:qFormat/>
    <w:uiPriority w:val="0"/>
    <w:rPr>
      <w:rFonts w:ascii="Times New Roman" w:hAnsi="Times New Roman" w:eastAsia="宋体" w:cs="Times New Roman"/>
      <w:szCs w:val="24"/>
    </w:rPr>
  </w:style>
  <w:style w:type="character" w:customStyle="1" w:styleId="20">
    <w:name w:val="nth-child(1)"/>
    <w:basedOn w:val="9"/>
    <w:qFormat/>
    <w:uiPriority w:val="0"/>
    <w:rPr>
      <w:color w:val="616466"/>
    </w:rPr>
  </w:style>
  <w:style w:type="character" w:customStyle="1" w:styleId="21">
    <w:name w:val="nth-child(1)1"/>
    <w:basedOn w:val="9"/>
    <w:qFormat/>
    <w:uiPriority w:val="0"/>
    <w:rPr>
      <w:color w:val="616466"/>
    </w:rPr>
  </w:style>
  <w:style w:type="character" w:customStyle="1" w:styleId="22">
    <w:name w:val="nth-child(2)"/>
    <w:basedOn w:val="9"/>
    <w:qFormat/>
    <w:uiPriority w:val="0"/>
  </w:style>
  <w:style w:type="character" w:customStyle="1" w:styleId="23">
    <w:name w:val="nth-child(2)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1578</Words>
  <Characters>8996</Characters>
  <Lines>74</Lines>
  <Paragraphs>21</Paragraphs>
  <TotalTime>0</TotalTime>
  <ScaleCrop>false</ScaleCrop>
  <LinksUpToDate>false</LinksUpToDate>
  <CharactersWithSpaces>10553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2020-01-15T00:25:00Z</dcterms:created>
  <dc:creator>欧阳玉</dc:creator>
  <cp:lastModifiedBy>Administrator</cp:lastModifiedBy>
  <dcterms:modified xsi:type="dcterms:W3CDTF">2020-02-11T01:39:19Z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