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firstLine="1050" w:firstLineChars="500"/>
        <w:rPr>
          <w:rFonts w:ascii="Arial" w:hAnsi="Arial" w:eastAsia="黑体" w:cs="Arial"/>
          <w:kern w:val="0"/>
        </w:rPr>
      </w:pPr>
    </w:p>
    <w:p>
      <w:pPr>
        <w:ind w:right="-57" w:rightChars="-27"/>
        <w:jc w:val="center"/>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梧州市苍海新区管理委员会2020年</w:t>
      </w:r>
    </w:p>
    <w:p>
      <w:pPr>
        <w:widowControl/>
        <w:shd w:val="clear" w:color="auto" w:fill="FFFFFF"/>
        <w:spacing w:line="420" w:lineRule="atLeast"/>
        <w:ind w:right="-57" w:rightChars="-27"/>
        <w:jc w:val="center"/>
        <w:outlineLvl w:val="1"/>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部门预算及“三公”经费预算</w:t>
      </w:r>
    </w:p>
    <w:p>
      <w:pPr>
        <w:widowControl/>
        <w:shd w:val="clear" w:color="auto" w:fill="FFFFFF"/>
        <w:spacing w:line="525" w:lineRule="atLeast"/>
        <w:ind w:right="-57" w:rightChars="-27"/>
        <w:jc w:val="center"/>
        <w:rPr>
          <w:rFonts w:ascii="黑体" w:hAnsi="仿宋" w:eastAsia="黑体" w:cs="宋体"/>
          <w:b/>
          <w:bCs/>
          <w:color w:val="333333"/>
          <w:kern w:val="0"/>
          <w:sz w:val="36"/>
          <w:szCs w:val="36"/>
        </w:rPr>
      </w:pPr>
    </w:p>
    <w:p>
      <w:pPr>
        <w:widowControl/>
        <w:shd w:val="clear" w:color="auto" w:fill="FFFFFF"/>
        <w:spacing w:line="525" w:lineRule="atLeast"/>
        <w:ind w:right="-57" w:rightChars="-27"/>
        <w:jc w:val="center"/>
        <w:rPr>
          <w:rFonts w:ascii="黑体" w:hAnsi="宋体" w:eastAsia="黑体" w:cs="宋体"/>
          <w:color w:val="333333"/>
          <w:kern w:val="0"/>
          <w:sz w:val="36"/>
          <w:szCs w:val="36"/>
        </w:rPr>
      </w:pPr>
      <w:r>
        <w:rPr>
          <w:rFonts w:hint="eastAsia" w:ascii="黑体" w:hAnsi="仿宋" w:eastAsia="黑体" w:cs="宋体"/>
          <w:b/>
          <w:bCs/>
          <w:color w:val="333333"/>
          <w:kern w:val="0"/>
          <w:sz w:val="36"/>
          <w:szCs w:val="36"/>
        </w:rPr>
        <w:t>目录：</w:t>
      </w:r>
    </w:p>
    <w:p>
      <w:pPr>
        <w:widowControl/>
        <w:shd w:val="clear" w:color="auto" w:fill="FFFFFF"/>
        <w:spacing w:line="560" w:lineRule="exact"/>
        <w:ind w:firstLine="643" w:firstLineChars="200"/>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widowControl/>
        <w:shd w:val="clear" w:color="auto" w:fill="FFFFFF"/>
        <w:spacing w:line="560" w:lineRule="exact"/>
        <w:ind w:firstLine="640" w:firstLineChars="200"/>
        <w:rPr>
          <w:rFonts w:ascii="仿宋_GB2312" w:hAnsi="宋体" w:eastAsia="仿宋_GB2312" w:cs="宋体"/>
          <w:color w:val="333333"/>
          <w:kern w:val="0"/>
          <w:sz w:val="32"/>
          <w:szCs w:val="32"/>
        </w:rPr>
      </w:pPr>
      <w:r>
        <w:rPr>
          <w:rFonts w:hint="eastAsia" w:ascii="仿宋_GB2312" w:hAnsi="仿宋" w:eastAsia="仿宋_GB2312" w:cs="宋体"/>
          <w:color w:val="000000"/>
          <w:kern w:val="0"/>
          <w:sz w:val="32"/>
          <w:szCs w:val="32"/>
        </w:rPr>
        <w:t>一、基本情况</w:t>
      </w:r>
    </w:p>
    <w:p>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二、机构设置、编制现状情况</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三、人员构成情况</w:t>
      </w:r>
    </w:p>
    <w:p>
      <w:pPr>
        <w:widowControl/>
        <w:shd w:val="clear" w:color="auto" w:fill="FFFFFF"/>
        <w:tabs>
          <w:tab w:val="left" w:pos="4845"/>
        </w:tabs>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四、年度主要工作任务</w:t>
      </w:r>
      <w:r>
        <w:rPr>
          <w:rFonts w:ascii="仿宋_GB2312" w:hAnsi="仿宋" w:eastAsia="仿宋_GB2312" w:cs="宋体"/>
          <w:color w:val="000000"/>
          <w:kern w:val="0"/>
          <w:sz w:val="32"/>
          <w:szCs w:val="32"/>
        </w:rPr>
        <w:tab/>
      </w:r>
    </w:p>
    <w:p>
      <w:pPr>
        <w:widowControl/>
        <w:shd w:val="clear" w:color="auto" w:fill="FFFFFF"/>
        <w:spacing w:line="560" w:lineRule="atLeast"/>
        <w:ind w:right="-57" w:rightChars="-27" w:firstLine="643" w:firstLineChars="200"/>
        <w:jc w:val="left"/>
        <w:rPr>
          <w:rFonts w:ascii="黑体" w:hAnsi="宋体" w:eastAsia="黑体" w:cs="宋体"/>
          <w:b/>
          <w:color w:val="333333"/>
          <w:kern w:val="0"/>
          <w:szCs w:val="21"/>
        </w:rPr>
      </w:pPr>
      <w:r>
        <w:rPr>
          <w:rFonts w:hint="eastAsia" w:ascii="黑体" w:hAnsi="仿宋" w:eastAsia="黑体" w:cs="宋体"/>
          <w:b/>
          <w:bCs/>
          <w:color w:val="333333"/>
          <w:kern w:val="0"/>
          <w:sz w:val="32"/>
        </w:rPr>
        <w:t>第二部分：2020年部门预算报表（详见附件）</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1．部门收支总表</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2．部门收入总表</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3．部门支出总表</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4．财政拨款收支总表</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5．一般公共预算支出表（按功能科目分类）</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6．一般公共预算支出表（按部门经济科目分类）</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7．一般公共预算支出表(按政府经济科目分类）</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8．一般公共预算基本支出表</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9．政府性基金预算支出表</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10．“三公”经费支出表</w:t>
      </w:r>
    </w:p>
    <w:p>
      <w:pPr>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11．国有资本经营预算支出情况表</w:t>
      </w:r>
    </w:p>
    <w:p>
      <w:pPr>
        <w:widowControl/>
        <w:shd w:val="clear" w:color="auto" w:fill="FFFFFF"/>
        <w:spacing w:line="560" w:lineRule="exact"/>
        <w:ind w:firstLine="643" w:firstLineChars="200"/>
        <w:rPr>
          <w:rFonts w:ascii="黑体" w:hAnsi="宋体" w:eastAsia="黑体" w:cs="宋体"/>
          <w:b/>
          <w:color w:val="333333"/>
          <w:kern w:val="0"/>
          <w:szCs w:val="21"/>
        </w:rPr>
      </w:pPr>
      <w:r>
        <w:rPr>
          <w:rFonts w:hint="eastAsia" w:ascii="黑体" w:hAnsi="仿宋" w:eastAsia="黑体" w:cs="宋体"/>
          <w:b/>
          <w:bCs/>
          <w:color w:val="333333"/>
          <w:kern w:val="0"/>
          <w:sz w:val="32"/>
        </w:rPr>
        <w:t>第三部分：2020年部门预算情况说明</w:t>
      </w:r>
    </w:p>
    <w:p>
      <w:pPr>
        <w:widowControl/>
        <w:shd w:val="clear" w:color="auto" w:fill="FFFFFF"/>
        <w:spacing w:line="560" w:lineRule="exact"/>
        <w:ind w:firstLine="640" w:firstLineChars="200"/>
        <w:rPr>
          <w:rFonts w:ascii="黑体" w:hAnsi="宋体" w:eastAsia="黑体" w:cs="宋体"/>
          <w:b/>
          <w:color w:val="333333"/>
          <w:kern w:val="0"/>
          <w:szCs w:val="21"/>
        </w:rPr>
      </w:pPr>
      <w:r>
        <w:rPr>
          <w:rFonts w:hint="eastAsia" w:ascii="仿宋_GB2312" w:hAnsi="仿宋" w:eastAsia="仿宋_GB2312" w:cs="宋体"/>
          <w:color w:val="000000"/>
          <w:kern w:val="0"/>
          <w:sz w:val="32"/>
          <w:szCs w:val="32"/>
        </w:rPr>
        <w:t>一、2020年</w:t>
      </w:r>
      <w:r>
        <w:rPr>
          <w:rFonts w:hint="eastAsia" w:ascii="仿宋_GB2312" w:hAnsi="黑体" w:eastAsia="仿宋_GB2312" w:cs="Times New Roman"/>
          <w:color w:val="333333"/>
          <w:kern w:val="0"/>
          <w:sz w:val="32"/>
          <w:szCs w:val="32"/>
        </w:rPr>
        <w:t>部门</w:t>
      </w:r>
      <w:r>
        <w:rPr>
          <w:rFonts w:hint="eastAsia" w:ascii="仿宋_GB2312" w:hAnsi="仿宋" w:eastAsia="仿宋_GB2312" w:cs="宋体"/>
          <w:color w:val="000000"/>
          <w:kern w:val="0"/>
          <w:sz w:val="32"/>
          <w:szCs w:val="32"/>
        </w:rPr>
        <w:t>收支总体预算情况。</w:t>
      </w:r>
    </w:p>
    <w:p>
      <w:pPr>
        <w:widowControl/>
        <w:shd w:val="clear" w:color="auto" w:fill="FFFFFF"/>
        <w:spacing w:line="560" w:lineRule="exact"/>
        <w:ind w:firstLine="640" w:firstLineChars="200"/>
        <w:rPr>
          <w:rFonts w:ascii="黑体" w:hAnsi="宋体" w:eastAsia="黑体" w:cs="宋体"/>
          <w:b/>
          <w:color w:val="333333"/>
          <w:kern w:val="0"/>
          <w:szCs w:val="21"/>
        </w:rPr>
      </w:pPr>
      <w:r>
        <w:rPr>
          <w:rFonts w:hint="eastAsia" w:ascii="仿宋_GB2312" w:hAnsi="仿宋" w:eastAsia="仿宋_GB2312" w:cs="宋体"/>
          <w:color w:val="000000"/>
          <w:kern w:val="0"/>
          <w:sz w:val="32"/>
          <w:szCs w:val="32"/>
        </w:rPr>
        <w:t>二、2020年部门财政拨款收支预算情况。</w:t>
      </w:r>
    </w:p>
    <w:p>
      <w:pPr>
        <w:widowControl/>
        <w:shd w:val="clear" w:color="auto" w:fill="FFFFFF"/>
        <w:spacing w:line="560" w:lineRule="exact"/>
        <w:ind w:firstLine="640" w:firstLineChars="200"/>
        <w:rPr>
          <w:rFonts w:ascii="黑体" w:hAnsi="宋体" w:eastAsia="黑体" w:cs="宋体"/>
          <w:b/>
          <w:color w:val="333333"/>
          <w:kern w:val="0"/>
          <w:szCs w:val="21"/>
        </w:rPr>
      </w:pPr>
      <w:r>
        <w:rPr>
          <w:rFonts w:hint="eastAsia" w:ascii="仿宋_GB2312" w:hAnsi="仿宋" w:eastAsia="仿宋_GB2312" w:cs="宋体"/>
          <w:color w:val="000000"/>
          <w:kern w:val="0"/>
          <w:sz w:val="32"/>
          <w:szCs w:val="32"/>
        </w:rPr>
        <w:t>三、2020年政府性基金预算支出预算情况</w:t>
      </w:r>
    </w:p>
    <w:p>
      <w:pPr>
        <w:widowControl/>
        <w:shd w:val="clear" w:color="auto" w:fill="FFFFFF"/>
        <w:spacing w:line="560" w:lineRule="exact"/>
        <w:ind w:firstLine="640" w:firstLineChars="200"/>
        <w:rPr>
          <w:rFonts w:ascii="黑体" w:hAnsi="宋体" w:eastAsia="黑体" w:cs="宋体"/>
          <w:b/>
          <w:color w:val="333333"/>
          <w:kern w:val="0"/>
          <w:szCs w:val="21"/>
        </w:rPr>
      </w:pPr>
      <w:r>
        <w:rPr>
          <w:rFonts w:hint="eastAsia" w:ascii="仿宋_GB2312" w:hAnsi="仿宋" w:eastAsia="仿宋_GB2312" w:cs="宋体"/>
          <w:color w:val="000000"/>
          <w:kern w:val="0"/>
          <w:sz w:val="32"/>
          <w:szCs w:val="32"/>
        </w:rPr>
        <w:t>四、2020年年部门预算安排的“三公”经费预算情况。</w:t>
      </w:r>
    </w:p>
    <w:p>
      <w:pPr>
        <w:widowControl/>
        <w:shd w:val="clear" w:color="auto" w:fill="FFFFFF"/>
        <w:spacing w:line="560" w:lineRule="exact"/>
        <w:ind w:firstLine="640" w:firstLineChars="200"/>
        <w:rPr>
          <w:rFonts w:ascii="黑体" w:hAnsi="宋体" w:eastAsia="黑体" w:cs="宋体"/>
          <w:b/>
          <w:color w:val="333333"/>
          <w:kern w:val="0"/>
          <w:szCs w:val="21"/>
        </w:rPr>
      </w:pPr>
      <w:r>
        <w:rPr>
          <w:rFonts w:hint="eastAsia" w:ascii="仿宋_GB2312" w:hAnsi="仿宋" w:eastAsia="仿宋_GB2312" w:cs="宋体"/>
          <w:color w:val="000000"/>
          <w:kern w:val="0"/>
          <w:sz w:val="32"/>
          <w:szCs w:val="32"/>
        </w:rPr>
        <w:t>五、</w:t>
      </w:r>
      <w:r>
        <w:rPr>
          <w:rFonts w:hint="eastAsia" w:ascii="仿宋_GB2312" w:hAnsi="仿宋" w:eastAsia="仿宋_GB2312" w:cs="宋体"/>
          <w:color w:val="333333"/>
          <w:kern w:val="0"/>
          <w:sz w:val="32"/>
          <w:szCs w:val="32"/>
        </w:rPr>
        <w:t>其</w:t>
      </w:r>
      <w:r>
        <w:rPr>
          <w:rFonts w:hint="eastAsia" w:ascii="仿宋_GB2312" w:hAnsi="仿宋" w:eastAsia="仿宋_GB2312" w:cs="宋体"/>
          <w:color w:val="000000"/>
          <w:kern w:val="0"/>
          <w:sz w:val="32"/>
          <w:szCs w:val="32"/>
        </w:rPr>
        <w:t>他情况说明。</w:t>
      </w:r>
    </w:p>
    <w:p>
      <w:pPr>
        <w:widowControl/>
        <w:shd w:val="clear" w:color="auto" w:fill="FFFFFF"/>
        <w:spacing w:line="560" w:lineRule="exact"/>
        <w:ind w:firstLine="643" w:firstLineChars="200"/>
        <w:rPr>
          <w:rFonts w:ascii="黑体" w:hAnsi="仿宋" w:eastAsia="黑体" w:cs="宋体"/>
          <w:b/>
          <w:color w:val="333333"/>
          <w:kern w:val="0"/>
          <w:sz w:val="32"/>
          <w:szCs w:val="32"/>
        </w:rPr>
      </w:pPr>
      <w:r>
        <w:rPr>
          <w:rFonts w:hint="eastAsia" w:ascii="黑体" w:hAnsi="仿宋" w:eastAsia="黑体" w:cs="宋体"/>
          <w:b/>
          <w:bCs/>
          <w:color w:val="333333"/>
          <w:kern w:val="0"/>
          <w:sz w:val="32"/>
        </w:rPr>
        <w:t>第四部分：专业名词解释</w:t>
      </w: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rPr>
          <w:rFonts w:ascii="仿宋" w:hAnsi="仿宋" w:eastAsia="仿宋" w:cs="宋体"/>
          <w:color w:val="333333"/>
          <w:kern w:val="0"/>
          <w:sz w:val="32"/>
          <w:szCs w:val="32"/>
        </w:rPr>
      </w:pPr>
    </w:p>
    <w:p>
      <w:pPr>
        <w:widowControl/>
        <w:shd w:val="clear" w:color="auto" w:fill="FFFFFF"/>
        <w:spacing w:line="560" w:lineRule="atLeast"/>
        <w:ind w:firstLine="643" w:firstLineChars="200"/>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pStyle w:val="8"/>
        <w:widowControl/>
        <w:numPr>
          <w:ilvl w:val="0"/>
          <w:numId w:val="1"/>
        </w:numPr>
        <w:spacing w:line="560" w:lineRule="exact"/>
        <w:ind w:firstLineChars="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基本情况</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为加快推进苍海新区建设，市委、市人民政府决定，设立梧州市苍海新区管理委员会，为市委、市人民政府的派出机构。设立苍海新区纪律检查工作委员会，为市纪委的派出机构。中共梧州市苍海新区工作委员会、梧州市苍海新区管理委员会主要职责：</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（一）贯彻落实市委、市政府的重要决策和工作部署。</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（二）贯彻执行国家、自治区和梧州市关于新区建设、发展的法律法规和政策，统筹组织制定新区经济社会发展总体规划和重大产业发展、城镇群建设等规划，经市委、市政府批准后组织实施。</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（三）承担新区200平方公里范围内发展规划、综合协调和产业布局等工作。</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（四）根据新区发展总体规划，制定新区开发建设总体规划，组织、协调编制区域建设规划和土地利用规划，统筹、协调、调控新区用地规划与实施工作。</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（五）全面负责苍海核心区22平方公里新城的规划、土地利用、项目建设实施与管理等各项工作，代表市政府履行项目合作协议政府方的义务。</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（六）负责研究制定实施加快新区开发建设相关配套政策措施和管理制度。</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（七）负责新区开发建设的组织、协调和服务工作。</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（八）负责新区内自治区重大项目、重大基础设施和重大产业项目建设推进的协调和服务。</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（九）负责新区旅游产业规划和文化旅游品牌挖掘及推介工作。</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（十）负责新区内生态建设和环境保护工作。</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（十一）承担我市建设西江黄金水道工作职责。</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（十二）负责苍海新区管委会机关及企事业单位党的建设、纪检监察、精神文明建设和群团工作。</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（十三）贯彻执行国家有关湿地保护的法律、法规、规章。</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（十四）负责湿地公园内的湿地保护与利用、生态旅游等工作。</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（十五）负责对湿地公园规划控制区内的规划、建设、开发、经营活动进行监管、审批和处罚。</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（十六）负责实施湿地公园总体规划，负责制定、组织实施湿地公园的管理计划和各项规章制度。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（十七）负责筹措湿地保护、修复、建设和管理资金。</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（十八）负责对授权的相关资产进行经营、管理，合理开发和综合利用工作。</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（十九）组织实施湿地公园生态保护修复工程、基础设施配套、生态旅游开发及其它项目工作。</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（二十）负责做好湿地资源的普查、评价工作，保管湿地保护、管理和研究工作中获得的各项成果、数据和资料，并按照规定向有关部门报送调查和检测报告。</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（二十一）负责对外宣传、推广、交流与湿地科学知识普及、教育，参与国际国内湿地保护与利用的交流与合作。</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（二十二）配合有关部门做好园区内的林业林政、渔业渔政、环境保护、市政市容、园林绿化等工作。</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（二十三）承办自治区党委、自治区人民政府和梧州市委、市政府交办的其他事项。</w:t>
      </w:r>
    </w:p>
    <w:p>
      <w:pPr>
        <w:widowControl/>
        <w:spacing w:line="560" w:lineRule="exact"/>
        <w:ind w:firstLine="643" w:firstLineChars="20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二、机构设置、编制现状情况</w:t>
      </w:r>
    </w:p>
    <w:p>
      <w:pPr>
        <w:widowControl/>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苍海新区由5个机构（其中：综合办公室、国土规划局、建设局、经济发展和投资促进局、生态和环境保护局）和1个下属机构（梧州市苍海国家湿地公园管理处）组成，梧州市苍海新区管理委员会核定全额事业编制20名；梧州市苍海国家湿地公园管理处核定全额事业编制8名。</w:t>
      </w:r>
    </w:p>
    <w:p>
      <w:pPr>
        <w:widowControl/>
        <w:spacing w:line="560" w:lineRule="exact"/>
        <w:ind w:firstLine="643" w:firstLineChars="20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三、人员构成情况</w:t>
      </w:r>
    </w:p>
    <w:p>
      <w:pPr>
        <w:widowControl/>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梧州市苍海新区管理委员会核定全额事业编制20名，2020年在编在职人员18人；下属机构：梧州市苍海国家湿地公园管理处核定全额事业编制8名，2020年在编在职人员6人。经费管理方式是</w:t>
      </w:r>
      <w:r>
        <w:rPr>
          <w:rFonts w:hint="eastAsia" w:ascii="仿宋_GB2312" w:hAnsi="仿宋" w:eastAsia="仿宋_GB2312" w:cs="仿宋_GB2312"/>
          <w:sz w:val="32"/>
          <w:szCs w:val="32"/>
          <w:lang w:eastAsia="zh-CN"/>
        </w:rPr>
        <w:t>财政全额拨款</w:t>
      </w:r>
      <w:r>
        <w:rPr>
          <w:rFonts w:hint="eastAsia" w:ascii="仿宋_GB2312" w:hAnsi="仿宋" w:eastAsia="仿宋_GB2312" w:cs="仿宋_GB2312"/>
          <w:sz w:val="32"/>
          <w:szCs w:val="32"/>
        </w:rPr>
        <w:t>。</w:t>
      </w:r>
    </w:p>
    <w:p>
      <w:pPr>
        <w:widowControl/>
        <w:spacing w:line="560" w:lineRule="exact"/>
        <w:ind w:firstLine="643" w:firstLineChars="200"/>
        <w:rPr>
          <w:rFonts w:ascii="黑体" w:hAnsi="黑体" w:eastAsia="黑体" w:cs="仿宋_GB2312"/>
          <w:b/>
          <w:sz w:val="32"/>
          <w:szCs w:val="32"/>
        </w:rPr>
      </w:pPr>
      <w:r>
        <w:rPr>
          <w:rFonts w:hint="eastAsia" w:ascii="黑体" w:hAnsi="黑体" w:eastAsia="黑体" w:cs="仿宋_GB2312"/>
          <w:b/>
          <w:sz w:val="32"/>
          <w:szCs w:val="32"/>
        </w:rPr>
        <w:t>四、</w:t>
      </w:r>
      <w:r>
        <w:rPr>
          <w:rFonts w:hint="eastAsia" w:ascii="黑体" w:hAnsi="黑体" w:eastAsia="黑体" w:cs="Times New Roman"/>
          <w:b/>
          <w:color w:val="333333"/>
          <w:kern w:val="0"/>
          <w:sz w:val="32"/>
          <w:szCs w:val="32"/>
        </w:rPr>
        <w:t>年度主要工作任务</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（一）做好项目前期工作</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一是做好产业培育。以苍海新区重点产业规划为主导，科学谋划4个百亿产业项目，加快产业集聚，形成产业竞争力，提升苍海新区城市核心竞争力；二是抓好城市空间格局优化，整合资源，合理拓展用地空间，做好系统性的发展规划和战略布局。结合“梧藤一体化”战略实施，按照200平方公里的蓝图统筹谋划好苍海新区与粤桂试验区、龙圩老城区、社学片区、循环园区和未来的藤县空港新区等联动发展。</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（二）抓好要素保障</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一是想方设法加快征地拆迁工作。解决好恒大养生谷、冰雪小镇项目二期用地征拆，确保按期供地；做好湿地公园、管廊PPP等在建项目用地保障；结合棚户区改造项目、时光小镇项目等，解决好农民生产生活出路回留地问题。二是加快土地出让。围绕2020年土地出让计划、土地收储计划和项目进度计划，争取更多的土地新增建设用地指标，完成年度计划收储任务；加快梳理新区存量土地情况，进一步盘活新区存量土地，提高供地率和增加土地出让收入。三是加快项目用地报批。安排专人跟踪项目用地报批前期工作，加快相关资料的收集，协调有关部门加快报批审批速度，保障项目用地。四是配合编制好国土空间规划。进一步梳理苍海项目的存量规模及拓展空间，合理编制好国土空间规划，争取更多的规模空间。五是多渠道争取、拓宽项目资金来源，与上级相关部门和金融机构加强沟通对接，全力筹集建设资金，同时加快项目土地出让工作，实现项目土地出让资金收入。</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（三）抓好招商引资工作</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一是计划完成招商引资到位资金22亿元，进一步提高在谈项目签约率和签约项目开工率，确保开工项目尽早建成投入运营；二是加强“北京师范大学梧州学校项目” “特色水街” “爱琴海购物公园”等在谈项目招商引资力度，尽早签约落地；三是完善和健全新区招商政策，出台新区“招商十条”，营造良好的营商环境。</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（四）加快园区基础设施和公共配套设施项目建设</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计划安排2020年工程建设项目16项，投资13.1亿元。一是紧抓核心区交通路网和对外交通重点项目建设，拉开城市框架。二是力促“一环一带四园”等景观建设，打造“山水苍海”生态环境品牌，抓紧东部和西南岸线景观、湿地公园、皇冲顶森林公园、光孝寺等项目推进，尤其加快推进湿地公园项目建设，确保2020年顺利通过自治区和国家林业主管部门验收。三是推动绿地梧州城际空间站项目等城市配套建设，加快梧州南站片区高端服务业集聚完善和提高核心区城市功能；加快恒大养生谷二、三期项目建设，形成苍海健康休闲养生品牌效应；加快启迪鸿星冰雪文体小镇项目建设，打造生态和旅游特色的城市综合体；加快苍海核心区高端服务业集聚，抓紧梧州医学专科高等学校、苍海人才城、苍海大厦、古凤时光小镇等项目的建设，进一步加快产城融合步伐。</w:t>
      </w:r>
    </w:p>
    <w:p>
      <w:pPr>
        <w:widowControl/>
        <w:wordWrap w:val="0"/>
        <w:spacing w:line="560" w:lineRule="atLeast"/>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（五）做大做强平台公司</w:t>
      </w:r>
    </w:p>
    <w:p>
      <w:pPr>
        <w:widowControl/>
        <w:wordWrap w:val="0"/>
        <w:spacing w:line="560" w:lineRule="atLeast"/>
        <w:ind w:firstLine="640" w:firstLineChars="200"/>
        <w:rPr>
          <w:rFonts w:ascii="黑体" w:hAnsi="黑体" w:eastAsia="黑体" w:cs="Times New Roman"/>
          <w:b/>
          <w:color w:val="333333"/>
          <w:kern w:val="0"/>
          <w:sz w:val="32"/>
          <w:szCs w:val="32"/>
        </w:rPr>
      </w:pPr>
      <w:r>
        <w:rPr>
          <w:rFonts w:hint="eastAsia" w:ascii="仿宋_GB2312" w:hAnsi="仿宋" w:eastAsia="仿宋_GB2312" w:cs="Times New Roman"/>
          <w:color w:val="333333"/>
          <w:kern w:val="0"/>
          <w:sz w:val="32"/>
          <w:szCs w:val="32"/>
        </w:rPr>
        <w:t>积极推进新区平台苍建公司机制体制改革，拓宽企业资产运营领域，进一步盘活资产，搞活经营，确保资产保值和增值，做大做强企业资产规模。</w:t>
      </w:r>
    </w:p>
    <w:p>
      <w:pPr>
        <w:widowControl/>
        <w:shd w:val="clear" w:color="auto" w:fill="FFFFFF"/>
        <w:spacing w:line="560" w:lineRule="exact"/>
        <w:ind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第二部分：2020年部门预算报表（预算公开报表作为附件挂在报告尾部，详见附件）</w:t>
      </w:r>
    </w:p>
    <w:p>
      <w:pPr>
        <w:widowControl/>
        <w:shd w:val="clear" w:color="auto" w:fill="FFFFFF"/>
        <w:spacing w:line="560" w:lineRule="exact"/>
        <w:ind w:firstLine="643" w:firstLineChars="200"/>
        <w:rPr>
          <w:rFonts w:ascii="仿宋_GB2312" w:hAnsi="仿宋" w:eastAsia="仿宋_GB2312" w:cs="宋体"/>
          <w:b/>
          <w:bCs/>
          <w:color w:val="333333"/>
          <w:kern w:val="0"/>
          <w:sz w:val="32"/>
        </w:rPr>
      </w:pPr>
    </w:p>
    <w:p>
      <w:pPr>
        <w:widowControl/>
        <w:spacing w:line="560" w:lineRule="exact"/>
        <w:ind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第三部分：2020年部门预算及“三公”经费预算报表说明</w:t>
      </w:r>
    </w:p>
    <w:p>
      <w:pPr>
        <w:widowControl/>
        <w:spacing w:line="560" w:lineRule="exact"/>
        <w:ind w:firstLine="630" w:firstLineChars="196"/>
        <w:rPr>
          <w:rFonts w:ascii="黑体" w:hAnsi="宋体" w:eastAsia="黑体" w:cs="宋体"/>
          <w:b/>
          <w:color w:val="333333"/>
          <w:kern w:val="0"/>
          <w:sz w:val="32"/>
          <w:szCs w:val="32"/>
        </w:rPr>
      </w:pPr>
      <w:r>
        <w:rPr>
          <w:rFonts w:hint="eastAsia" w:ascii="黑体" w:hAnsi="黑体" w:eastAsia="黑体" w:cs="Times New Roman"/>
          <w:b/>
          <w:color w:val="333333"/>
          <w:kern w:val="0"/>
          <w:sz w:val="32"/>
          <w:szCs w:val="32"/>
        </w:rPr>
        <w:t>一、</w:t>
      </w:r>
      <w:r>
        <w:rPr>
          <w:rFonts w:hint="eastAsia" w:ascii="黑体" w:hAnsi="Times New Roman" w:eastAsia="黑体" w:cs="Times New Roman"/>
          <w:b/>
          <w:color w:val="333333"/>
          <w:kern w:val="0"/>
          <w:sz w:val="32"/>
          <w:szCs w:val="32"/>
        </w:rPr>
        <w:t>2020</w:t>
      </w:r>
      <w:r>
        <w:rPr>
          <w:rFonts w:hint="eastAsia" w:ascii="黑体" w:hAnsi="黑体" w:eastAsia="黑体" w:cs="Times New Roman"/>
          <w:b/>
          <w:color w:val="333333"/>
          <w:kern w:val="0"/>
          <w:sz w:val="32"/>
          <w:szCs w:val="32"/>
        </w:rPr>
        <w:t>年部门收支总体</w:t>
      </w:r>
      <w:r>
        <w:rPr>
          <w:rFonts w:hint="eastAsia" w:ascii="黑体" w:hAnsi="仿宋" w:eastAsia="黑体" w:cs="宋体"/>
          <w:b/>
          <w:color w:val="000000"/>
          <w:kern w:val="0"/>
          <w:sz w:val="32"/>
          <w:szCs w:val="32"/>
        </w:rPr>
        <w:t>预算</w:t>
      </w:r>
      <w:r>
        <w:rPr>
          <w:rFonts w:hint="eastAsia" w:ascii="黑体" w:hAnsi="黑体" w:eastAsia="黑体" w:cs="Times New Roman"/>
          <w:b/>
          <w:color w:val="333333"/>
          <w:kern w:val="0"/>
          <w:sz w:val="32"/>
          <w:szCs w:val="32"/>
        </w:rPr>
        <w:t>情况</w:t>
      </w:r>
    </w:p>
    <w:p>
      <w:pPr>
        <w:widowControl/>
        <w:spacing w:line="560" w:lineRule="exact"/>
        <w:ind w:firstLine="643" w:firstLineChars="200"/>
        <w:rPr>
          <w:rFonts w:ascii="宋体" w:hAnsi="宋体" w:eastAsia="宋体" w:cs="宋体"/>
          <w:color w:val="333333"/>
          <w:kern w:val="0"/>
          <w:szCs w:val="21"/>
        </w:rPr>
      </w:pPr>
      <w:r>
        <w:rPr>
          <w:rFonts w:hint="eastAsia" w:ascii="楷体_GB2312" w:hAnsi="Times New Roman" w:eastAsia="楷体_GB2312" w:cs="Times New Roman"/>
          <w:b/>
          <w:color w:val="333333"/>
          <w:kern w:val="0"/>
          <w:sz w:val="32"/>
          <w:szCs w:val="32"/>
        </w:rPr>
        <w:t>（一）收入预算说明。</w:t>
      </w:r>
    </w:p>
    <w:p>
      <w:pPr>
        <w:widowControl/>
        <w:spacing w:line="560" w:lineRule="exact"/>
        <w:ind w:firstLine="640" w:firstLineChars="200"/>
        <w:rPr>
          <w:rFonts w:ascii="仿宋_GB2312" w:hAnsi="宋体" w:eastAsia="仿宋_GB2312" w:cs="宋体"/>
          <w:color w:val="333333"/>
          <w:kern w:val="0"/>
          <w:sz w:val="32"/>
          <w:szCs w:val="32"/>
        </w:rPr>
      </w:pP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年收入总预算5430040元，同比增加2344211元,增长76</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w:t>
      </w: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收入预算总体增加的主要原因：一是梧州市苍海新区管理委员会（以下简称苍海新区）和梧州市苍海国家湿地公园管理处（以下简称苍海湿地公园）在职在编人员增加；二是苍海湿地公园转移性收入资金列入本市级部门预算资金收入使收入预算总体有所增加。</w:t>
      </w:r>
    </w:p>
    <w:p>
      <w:pPr>
        <w:widowControl/>
        <w:spacing w:line="560" w:lineRule="exact"/>
        <w:ind w:firstLine="640" w:firstLineChars="200"/>
        <w:rPr>
          <w:rFonts w:ascii="宋体" w:hAnsi="宋体" w:eastAsia="宋体" w:cs="宋体"/>
          <w:color w:val="333333"/>
          <w:kern w:val="0"/>
          <w:szCs w:val="21"/>
        </w:rPr>
      </w:pPr>
      <w:r>
        <w:rPr>
          <w:rFonts w:hint="eastAsia" w:ascii="仿宋_GB2312" w:hAnsi="Times New Roman" w:eastAsia="仿宋_GB2312" w:cs="Times New Roman"/>
          <w:color w:val="333333"/>
          <w:kern w:val="0"/>
          <w:sz w:val="32"/>
          <w:szCs w:val="32"/>
        </w:rPr>
        <w:t>其中：</w:t>
      </w:r>
    </w:p>
    <w:p>
      <w:pPr>
        <w:widowControl/>
        <w:numPr>
          <w:ilvl w:val="0"/>
          <w:numId w:val="2"/>
        </w:numPr>
        <w:spacing w:line="560" w:lineRule="exact"/>
        <w:ind w:firstLine="640" w:firstLineChars="200"/>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一般公共预算拨款</w:t>
      </w:r>
      <w:r>
        <w:rPr>
          <w:rFonts w:ascii="仿宋_GB2312" w:hAnsi="Times New Roman" w:eastAsia="仿宋_GB2312" w:cs="Times New Roman"/>
          <w:color w:val="333333"/>
          <w:kern w:val="0"/>
          <w:sz w:val="32"/>
          <w:szCs w:val="32"/>
        </w:rPr>
        <w:t>2430040</w:t>
      </w:r>
      <w:r>
        <w:rPr>
          <w:rFonts w:hint="eastAsia" w:ascii="仿宋_GB2312" w:hAnsi="Times New Roman" w:eastAsia="仿宋_GB2312" w:cs="Times New Roman"/>
          <w:color w:val="333333"/>
          <w:kern w:val="0"/>
          <w:sz w:val="32"/>
          <w:szCs w:val="32"/>
        </w:rPr>
        <w:t>元，同比增加344211元，增长16.5</w:t>
      </w:r>
      <w:r>
        <w:rPr>
          <w:rFonts w:ascii="Times New Roman" w:hAnsi="Times New Roman" w:eastAsia="宋体" w:cs="Times New Roman"/>
          <w:color w:val="333333"/>
          <w:kern w:val="0"/>
          <w:sz w:val="32"/>
          <w:szCs w:val="32"/>
        </w:rPr>
        <w:t>%</w:t>
      </w:r>
      <w:r>
        <w:rPr>
          <w:rFonts w:hint="eastAsia" w:ascii="Times New Roman" w:hAnsi="Times New Roman" w:eastAsia="宋体" w:cs="Times New Roman"/>
          <w:color w:val="333333"/>
          <w:kern w:val="0"/>
          <w:sz w:val="32"/>
          <w:szCs w:val="32"/>
          <w:lang w:eastAsia="zh-CN"/>
        </w:rPr>
        <w:t>，</w:t>
      </w:r>
      <w:r>
        <w:rPr>
          <w:rFonts w:hint="eastAsia" w:ascii="仿宋_GB2312" w:hAnsi="Times New Roman" w:eastAsia="仿宋_GB2312" w:cs="Times New Roman"/>
          <w:color w:val="333333"/>
          <w:kern w:val="0"/>
          <w:sz w:val="32"/>
          <w:szCs w:val="32"/>
        </w:rPr>
        <w:t>主要是苍海新区和苍海湿地公园在职在编人员增加；</w:t>
      </w:r>
    </w:p>
    <w:p>
      <w:pPr>
        <w:widowControl/>
        <w:numPr>
          <w:numId w:val="0"/>
        </w:numPr>
        <w:spacing w:line="560" w:lineRule="exact"/>
        <w:rPr>
          <w:rFonts w:ascii="仿宋_GB2312" w:hAnsi="宋体" w:eastAsia="仿宋_GB2312" w:cs="宋体"/>
          <w:kern w:val="0"/>
          <w:sz w:val="32"/>
          <w:szCs w:val="32"/>
        </w:rPr>
      </w:pPr>
      <w:r>
        <w:rPr>
          <w:rFonts w:hint="eastAsia" w:ascii="仿宋_GB2312" w:hAnsi="Times New Roman" w:eastAsia="仿宋_GB2312" w:cs="Times New Roman"/>
          <w:color w:val="333333"/>
          <w:kern w:val="0"/>
          <w:sz w:val="32"/>
          <w:szCs w:val="32"/>
          <w:lang w:val="en-US" w:eastAsia="zh-CN"/>
        </w:rPr>
        <w:t xml:space="preserve">    </w:t>
      </w:r>
      <w:r>
        <w:rPr>
          <w:rFonts w:hint="eastAsia" w:ascii="仿宋_GB2312" w:hAnsi="Times New Roman" w:eastAsia="仿宋_GB2312" w:cs="Times New Roman"/>
          <w:color w:val="333333"/>
          <w:kern w:val="0"/>
          <w:sz w:val="32"/>
          <w:szCs w:val="32"/>
        </w:rPr>
        <w:t>2、</w:t>
      </w:r>
      <w:r>
        <w:rPr>
          <w:rFonts w:hint="eastAsia" w:ascii="仿宋_GB2312" w:hAnsi="宋体" w:eastAsia="仿宋_GB2312" w:cs="宋体"/>
          <w:kern w:val="0"/>
          <w:sz w:val="32"/>
          <w:szCs w:val="32"/>
        </w:rPr>
        <w:t>本单位无政府性基金拨款收入，同比无变化。</w:t>
      </w:r>
    </w:p>
    <w:p>
      <w:pPr>
        <w:widowControl/>
        <w:spacing w:line="560" w:lineRule="exact"/>
        <w:ind w:firstLine="640" w:firstLineChars="200"/>
        <w:rPr>
          <w:rFonts w:ascii="仿宋_GB2312" w:hAnsi="Times New Roman" w:eastAsia="仿宋_GB2312" w:cs="Times New Roman"/>
          <w:color w:val="FF0000"/>
          <w:kern w:val="0"/>
          <w:sz w:val="32"/>
          <w:szCs w:val="32"/>
        </w:rPr>
      </w:pPr>
      <w:r>
        <w:rPr>
          <w:rFonts w:hint="eastAsia" w:ascii="仿宋_GB2312" w:hAnsi="Times New Roman" w:eastAsia="仿宋_GB2312" w:cs="Times New Roman"/>
          <w:color w:val="333333"/>
          <w:kern w:val="0"/>
          <w:sz w:val="32"/>
          <w:szCs w:val="32"/>
        </w:rPr>
        <w:t>3、</w:t>
      </w:r>
      <w:r>
        <w:rPr>
          <w:rFonts w:hint="eastAsia" w:ascii="仿宋_GB2312" w:hAnsi="Times New Roman" w:eastAsia="仿宋_GB2312" w:cs="Times New Roman"/>
          <w:kern w:val="0"/>
          <w:sz w:val="32"/>
          <w:szCs w:val="32"/>
        </w:rPr>
        <w:t>本单位无纳入财政专户管理的事业收入，同比无变化。</w:t>
      </w:r>
    </w:p>
    <w:p>
      <w:pPr>
        <w:widowControl/>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333333"/>
          <w:kern w:val="0"/>
          <w:sz w:val="32"/>
          <w:szCs w:val="32"/>
        </w:rPr>
        <w:t>4、</w:t>
      </w:r>
      <w:r>
        <w:rPr>
          <w:rFonts w:hint="eastAsia" w:ascii="仿宋_GB2312" w:hAnsi="Times New Roman" w:eastAsia="仿宋_GB2312" w:cs="Times New Roman"/>
          <w:kern w:val="0"/>
          <w:sz w:val="32"/>
          <w:szCs w:val="32"/>
        </w:rPr>
        <w:t>本单位转移性收入</w:t>
      </w:r>
      <w:r>
        <w:rPr>
          <w:rFonts w:ascii="仿宋_GB2312" w:hAnsi="Times New Roman" w:eastAsia="仿宋_GB2312" w:cs="Times New Roman"/>
          <w:kern w:val="0"/>
          <w:sz w:val="32"/>
          <w:szCs w:val="32"/>
        </w:rPr>
        <w:t>3000000</w:t>
      </w:r>
      <w:r>
        <w:rPr>
          <w:rFonts w:hint="eastAsia" w:ascii="仿宋_GB2312" w:hAnsi="Times New Roman" w:eastAsia="仿宋_GB2312" w:cs="Times New Roman"/>
          <w:kern w:val="0"/>
          <w:sz w:val="32"/>
          <w:szCs w:val="32"/>
        </w:rPr>
        <w:t>元</w:t>
      </w:r>
      <w:r>
        <w:rPr>
          <w:rFonts w:hint="eastAsia" w:ascii="仿宋_GB2312" w:hAnsi="宋体" w:eastAsia="仿宋_GB2312" w:cs="宋体"/>
          <w:kern w:val="0"/>
          <w:sz w:val="32"/>
          <w:szCs w:val="32"/>
        </w:rPr>
        <w:t>，同比增加2000000元，增长200%。</w:t>
      </w:r>
      <w:r>
        <w:rPr>
          <w:rFonts w:hint="eastAsia" w:ascii="仿宋_GB2312" w:hAnsi="宋体" w:eastAsia="仿宋_GB2312" w:cs="宋体"/>
          <w:kern w:val="0"/>
          <w:sz w:val="32"/>
          <w:szCs w:val="32"/>
          <w:lang w:eastAsia="zh-CN"/>
        </w:rPr>
        <w:t>增长的主要原因是</w:t>
      </w:r>
      <w:r>
        <w:rPr>
          <w:rFonts w:hint="eastAsia" w:ascii="仿宋_GB2312" w:hAnsi="Times New Roman" w:eastAsia="仿宋_GB2312" w:cs="Times New Roman"/>
          <w:color w:val="333333"/>
          <w:kern w:val="0"/>
          <w:sz w:val="32"/>
          <w:szCs w:val="32"/>
        </w:rPr>
        <w:t>苍海湿地公园</w:t>
      </w:r>
      <w:r>
        <w:rPr>
          <w:rFonts w:hint="eastAsia" w:ascii="仿宋_GB2312" w:hAnsi="Times New Roman" w:eastAsia="仿宋_GB2312" w:cs="Times New Roman"/>
          <w:color w:val="333333"/>
          <w:kern w:val="0"/>
          <w:sz w:val="32"/>
          <w:szCs w:val="32"/>
          <w:lang w:eastAsia="zh-CN"/>
        </w:rPr>
        <w:t>获得</w:t>
      </w:r>
      <w:r>
        <w:rPr>
          <w:rFonts w:hint="eastAsia" w:ascii="仿宋_GB2312" w:hAnsi="Times New Roman" w:eastAsia="仿宋_GB2312" w:cs="Times New Roman"/>
          <w:color w:val="333333"/>
          <w:kern w:val="0"/>
          <w:sz w:val="32"/>
          <w:szCs w:val="32"/>
          <w:lang w:val="en-US" w:eastAsia="zh-CN"/>
        </w:rPr>
        <w:t>2020年中央财政林业改革发展资金</w:t>
      </w:r>
      <w:r>
        <w:rPr>
          <w:rFonts w:ascii="仿宋_GB2312" w:hAnsi="Times New Roman" w:eastAsia="仿宋_GB2312" w:cs="Times New Roman"/>
          <w:kern w:val="0"/>
          <w:sz w:val="32"/>
          <w:szCs w:val="32"/>
        </w:rPr>
        <w:t>3000000</w:t>
      </w:r>
      <w:r>
        <w:rPr>
          <w:rFonts w:hint="eastAsia" w:ascii="仿宋_GB2312" w:hAnsi="Times New Roman" w:eastAsia="仿宋_GB2312" w:cs="Times New Roman"/>
          <w:kern w:val="0"/>
          <w:sz w:val="32"/>
          <w:szCs w:val="32"/>
        </w:rPr>
        <w:t>元</w:t>
      </w:r>
      <w:r>
        <w:rPr>
          <w:rFonts w:hint="eastAsia" w:ascii="仿宋_GB2312" w:hAnsi="Times New Roman" w:eastAsia="仿宋_GB2312" w:cs="Times New Roman"/>
          <w:color w:val="333333"/>
          <w:kern w:val="0"/>
          <w:sz w:val="32"/>
          <w:szCs w:val="32"/>
          <w:lang w:val="en-US" w:eastAsia="zh-CN"/>
        </w:rPr>
        <w:t>。</w:t>
      </w:r>
    </w:p>
    <w:p>
      <w:pPr>
        <w:widowControl/>
        <w:spacing w:line="560" w:lineRule="exact"/>
        <w:ind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kern w:val="0"/>
          <w:sz w:val="32"/>
          <w:szCs w:val="32"/>
        </w:rPr>
        <w:t>5、上年结余收入0元</w:t>
      </w:r>
      <w:r>
        <w:rPr>
          <w:rFonts w:hint="eastAsia" w:ascii="仿宋_GB2312" w:hAnsi="Times New Roman" w:eastAsia="仿宋_GB2312" w:cs="Times New Roman"/>
          <w:color w:val="333333"/>
          <w:kern w:val="0"/>
          <w:sz w:val="32"/>
          <w:szCs w:val="32"/>
        </w:rPr>
        <w:t>，同比无变化；</w:t>
      </w:r>
      <w:r>
        <w:rPr>
          <w:rFonts w:ascii="仿宋_GB2312" w:hAnsi="Times New Roman" w:eastAsia="仿宋_GB2312" w:cs="Times New Roman"/>
          <w:b/>
          <w:color w:val="333333"/>
          <w:kern w:val="0"/>
          <w:sz w:val="32"/>
          <w:szCs w:val="32"/>
        </w:rPr>
        <w:t xml:space="preserve"> </w:t>
      </w:r>
    </w:p>
    <w:p>
      <w:pPr>
        <w:widowControl/>
        <w:spacing w:line="560" w:lineRule="exact"/>
        <w:ind w:firstLine="643" w:firstLineChars="200"/>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color w:val="333333"/>
          <w:kern w:val="0"/>
          <w:sz w:val="32"/>
          <w:szCs w:val="32"/>
        </w:rPr>
        <w:t>（二）支出预算说明。</w:t>
      </w:r>
    </w:p>
    <w:p>
      <w:pPr>
        <w:tabs>
          <w:tab w:val="center" w:pos="4475"/>
        </w:tabs>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2020年支出总预算5430040元，同比增加2344211元，增加76%；支出增加的主要原因一是苍海新区和苍海湿地公园在职在编人员增加；二是苍海湿地公园项目支出增加使支出预算总体有所增加。</w:t>
      </w:r>
    </w:p>
    <w:p>
      <w:pPr>
        <w:tabs>
          <w:tab w:val="center" w:pos="4475"/>
        </w:tabs>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widowControl/>
        <w:spacing w:line="56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rPr>
        <w:t>按支出功能分类科目划分</w:t>
      </w:r>
      <w:r>
        <w:rPr>
          <w:rFonts w:hint="eastAsia" w:ascii="仿宋_GB2312" w:hAnsi="Times New Roman" w:eastAsia="仿宋_GB2312" w:cs="Times New Roman"/>
          <w:kern w:val="0"/>
          <w:sz w:val="32"/>
          <w:szCs w:val="32"/>
        </w:rPr>
        <w:t>。（1）一般公共服务支出1935086元，占支出总预算35.7%，同比增加282167元，增长17</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color w:val="333333"/>
          <w:kern w:val="0"/>
          <w:sz w:val="32"/>
          <w:szCs w:val="32"/>
        </w:rPr>
        <w:t>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（2）社会保障和就业支出</w:t>
      </w:r>
      <w:r>
        <w:rPr>
          <w:rFonts w:ascii="仿宋_GB2312" w:hAnsi="Times New Roman" w:eastAsia="仿宋_GB2312" w:cs="Times New Roman"/>
          <w:color w:val="333333"/>
          <w:kern w:val="0"/>
          <w:sz w:val="32"/>
          <w:szCs w:val="32"/>
        </w:rPr>
        <w:t>219830</w:t>
      </w:r>
      <w:r>
        <w:rPr>
          <w:rFonts w:hint="eastAsia" w:ascii="仿宋_GB2312" w:hAnsi="Times New Roman" w:eastAsia="仿宋_GB2312" w:cs="Times New Roman"/>
          <w:color w:val="333333"/>
          <w:kern w:val="0"/>
          <w:sz w:val="32"/>
          <w:szCs w:val="32"/>
        </w:rPr>
        <w:t>元，占支出总预算4%，同比增加4010元，增长1.9%。主要是苍海新区和苍海湿地公园在职在编人员增加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（3）卫生健康支出110251元，占支出总预算1.9%，同比增加22653元，增长27.6%。主要是苍海新区和苍海湿地公园在职在编人员增加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（4）住房保障支出</w:t>
      </w:r>
      <w:r>
        <w:rPr>
          <w:rFonts w:ascii="仿宋_GB2312" w:hAnsi="Times New Roman" w:eastAsia="仿宋_GB2312" w:cs="Times New Roman"/>
          <w:color w:val="333333"/>
          <w:kern w:val="0"/>
          <w:sz w:val="32"/>
          <w:szCs w:val="32"/>
        </w:rPr>
        <w:t>164873</w:t>
      </w:r>
      <w:r>
        <w:rPr>
          <w:rFonts w:hint="eastAsia" w:ascii="仿宋_GB2312" w:hAnsi="Times New Roman" w:eastAsia="仿宋_GB2312" w:cs="Times New Roman"/>
          <w:color w:val="333333"/>
          <w:kern w:val="0"/>
          <w:sz w:val="32"/>
          <w:szCs w:val="32"/>
        </w:rPr>
        <w:t>元，占支出总预算3%，同比增加35381元，增长27.3%。主要是苍海新区和苍海湿地公园在职在编人员增加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widowControl/>
        <w:spacing w:line="560" w:lineRule="exact"/>
        <w:ind w:firstLine="643" w:firstLineChars="200"/>
        <w:rPr>
          <w:rFonts w:ascii="仿宋_GB2312" w:hAnsi="Times New Roman" w:eastAsia="仿宋_GB2312" w:cs="Times New Roman"/>
          <w:b/>
          <w:bCs/>
          <w:color w:val="333333"/>
          <w:kern w:val="0"/>
          <w:sz w:val="32"/>
        </w:rPr>
      </w:pPr>
      <w:r>
        <w:rPr>
          <w:rFonts w:hint="eastAsia" w:ascii="仿宋_GB2312" w:hAnsi="Times New Roman" w:eastAsia="仿宋_GB2312" w:cs="Times New Roman"/>
          <w:b/>
          <w:bCs/>
          <w:color w:val="333333"/>
          <w:kern w:val="0"/>
          <w:sz w:val="32"/>
        </w:rPr>
        <w:t>按支出结构分类划分，分为基本支出预算和项目支出预算。</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基本支出</w:t>
      </w:r>
      <w:r>
        <w:rPr>
          <w:rFonts w:ascii="仿宋_GB2312" w:hAnsi="Times New Roman" w:eastAsia="仿宋_GB2312" w:cs="Times New Roman"/>
          <w:color w:val="333333"/>
          <w:kern w:val="0"/>
          <w:sz w:val="32"/>
          <w:szCs w:val="32"/>
        </w:rPr>
        <w:t>2430040</w:t>
      </w:r>
      <w:r>
        <w:rPr>
          <w:rFonts w:hint="eastAsia" w:ascii="仿宋_GB2312" w:hAnsi="Times New Roman" w:eastAsia="仿宋_GB2312" w:cs="Times New Roman"/>
          <w:color w:val="333333"/>
          <w:kern w:val="0"/>
          <w:sz w:val="32"/>
          <w:szCs w:val="32"/>
        </w:rPr>
        <w:t>元，占支出总预算的44.8%，同比增加344211元，增长16.5</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widowControl/>
        <w:spacing w:line="560" w:lineRule="exact"/>
        <w:ind w:firstLine="640" w:firstLineChars="200"/>
        <w:rPr>
          <w:rFonts w:ascii="仿宋_GB2312" w:hAnsi="宋体" w:eastAsia="仿宋_GB2312" w:cs="宋体"/>
          <w:color w:val="333333"/>
          <w:kern w:val="0"/>
          <w:szCs w:val="21"/>
        </w:rPr>
      </w:pPr>
      <w:r>
        <w:rPr>
          <w:rFonts w:hint="eastAsia" w:ascii="仿宋_GB2312" w:hAnsi="Times New Roman" w:eastAsia="仿宋_GB2312" w:cs="Times New Roman"/>
          <w:color w:val="333333"/>
          <w:kern w:val="0"/>
          <w:sz w:val="32"/>
          <w:szCs w:val="32"/>
        </w:rPr>
        <w:t>项目支出</w:t>
      </w:r>
      <w:r>
        <w:rPr>
          <w:rFonts w:ascii="仿宋_GB2312" w:hAnsi="Times New Roman" w:eastAsia="仿宋_GB2312" w:cs="Times New Roman"/>
          <w:color w:val="333333"/>
          <w:kern w:val="0"/>
          <w:sz w:val="32"/>
          <w:szCs w:val="32"/>
        </w:rPr>
        <w:t>3000000</w:t>
      </w:r>
      <w:r>
        <w:rPr>
          <w:rFonts w:hint="eastAsia" w:ascii="仿宋_GB2312" w:hAnsi="Times New Roman" w:eastAsia="仿宋_GB2312" w:cs="Times New Roman"/>
          <w:color w:val="333333"/>
          <w:kern w:val="0"/>
          <w:sz w:val="32"/>
          <w:szCs w:val="32"/>
        </w:rPr>
        <w:t>元，占支出总预算的55.2%，同比增加2000000元，增长200</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w:t>
      </w:r>
      <w:r>
        <w:rPr>
          <w:rFonts w:hint="eastAsia" w:ascii="仿宋_GB2312" w:hAnsi="宋体" w:eastAsia="仿宋_GB2312" w:cs="宋体"/>
          <w:kern w:val="0"/>
          <w:sz w:val="32"/>
          <w:szCs w:val="32"/>
          <w:lang w:eastAsia="zh-CN"/>
        </w:rPr>
        <w:t>主要原因是</w:t>
      </w:r>
      <w:r>
        <w:rPr>
          <w:rFonts w:hint="eastAsia" w:ascii="仿宋_GB2312" w:hAnsi="Times New Roman" w:eastAsia="仿宋_GB2312" w:cs="Times New Roman"/>
          <w:color w:val="333333"/>
          <w:kern w:val="0"/>
          <w:sz w:val="32"/>
          <w:szCs w:val="32"/>
        </w:rPr>
        <w:t>苍海湿地公园</w:t>
      </w:r>
      <w:r>
        <w:rPr>
          <w:rFonts w:hint="eastAsia" w:ascii="仿宋_GB2312" w:hAnsi="Times New Roman" w:eastAsia="仿宋_GB2312" w:cs="Times New Roman"/>
          <w:color w:val="333333"/>
          <w:kern w:val="0"/>
          <w:sz w:val="32"/>
          <w:szCs w:val="32"/>
          <w:lang w:eastAsia="zh-CN"/>
        </w:rPr>
        <w:t>获得</w:t>
      </w:r>
      <w:r>
        <w:rPr>
          <w:rFonts w:hint="eastAsia" w:ascii="仿宋_GB2312" w:hAnsi="Times New Roman" w:eastAsia="仿宋_GB2312" w:cs="Times New Roman"/>
          <w:color w:val="333333"/>
          <w:kern w:val="0"/>
          <w:sz w:val="32"/>
          <w:szCs w:val="32"/>
          <w:lang w:val="en-US" w:eastAsia="zh-CN"/>
        </w:rPr>
        <w:t>2020年中央财政林业改革发展资金</w:t>
      </w:r>
      <w:r>
        <w:rPr>
          <w:rFonts w:ascii="仿宋_GB2312" w:hAnsi="Times New Roman" w:eastAsia="仿宋_GB2312" w:cs="Times New Roman"/>
          <w:kern w:val="0"/>
          <w:sz w:val="32"/>
          <w:szCs w:val="32"/>
        </w:rPr>
        <w:t>3000000</w:t>
      </w:r>
      <w:r>
        <w:rPr>
          <w:rFonts w:hint="eastAsia" w:ascii="仿宋_GB2312" w:hAnsi="Times New Roman" w:eastAsia="仿宋_GB2312" w:cs="Times New Roman"/>
          <w:kern w:val="0"/>
          <w:sz w:val="32"/>
          <w:szCs w:val="32"/>
        </w:rPr>
        <w:t>元</w:t>
      </w:r>
      <w:r>
        <w:rPr>
          <w:rFonts w:hint="eastAsia" w:ascii="仿宋_GB2312" w:hAnsi="Times New Roman" w:eastAsia="仿宋_GB2312" w:cs="Times New Roman"/>
          <w:color w:val="333333"/>
          <w:kern w:val="0"/>
          <w:sz w:val="32"/>
          <w:szCs w:val="32"/>
          <w:lang w:val="en-US" w:eastAsia="zh-CN"/>
        </w:rPr>
        <w:t>。</w:t>
      </w:r>
    </w:p>
    <w:p>
      <w:pPr>
        <w:snapToGrid w:val="0"/>
        <w:spacing w:line="560" w:lineRule="exact"/>
        <w:ind w:firstLine="643" w:firstLineChars="200"/>
        <w:rPr>
          <w:rFonts w:ascii="黑体" w:eastAsia="黑体"/>
          <w:b/>
          <w:sz w:val="32"/>
          <w:szCs w:val="32"/>
        </w:rPr>
      </w:pPr>
      <w:r>
        <w:rPr>
          <w:rFonts w:hint="eastAsia" w:ascii="黑体" w:hAnsi="黑体" w:eastAsia="黑体" w:cs="Times New Roman"/>
          <w:b/>
          <w:color w:val="333333"/>
          <w:kern w:val="0"/>
          <w:sz w:val="32"/>
          <w:szCs w:val="32"/>
        </w:rPr>
        <w:t>二、2020年部门财政拨款收支预算情况</w:t>
      </w:r>
    </w:p>
    <w:p>
      <w:pPr>
        <w:snapToGrid w:val="0"/>
        <w:spacing w:line="560" w:lineRule="exact"/>
        <w:ind w:firstLine="643" w:firstLineChars="200"/>
        <w:rPr>
          <w:rFonts w:ascii="楷体_GB2312" w:hAnsi="Times New Roman" w:eastAsia="楷体_GB2312" w:cs="Times New Roman"/>
          <w:b/>
          <w:bCs/>
          <w:color w:val="333333"/>
          <w:kern w:val="0"/>
          <w:sz w:val="32"/>
          <w:szCs w:val="32"/>
        </w:rPr>
      </w:pPr>
      <w:r>
        <w:rPr>
          <w:rFonts w:hint="eastAsia" w:ascii="楷体_GB2312" w:hAnsi="Times New Roman" w:eastAsia="楷体_GB2312" w:cs="Times New Roman"/>
          <w:b/>
          <w:bCs/>
          <w:color w:val="333333"/>
          <w:kern w:val="0"/>
          <w:sz w:val="32"/>
        </w:rPr>
        <w:t>（一）财政拨款收入总体情况</w:t>
      </w:r>
      <w:r>
        <w:rPr>
          <w:rFonts w:hint="eastAsia" w:ascii="楷体_GB2312" w:hAnsi="Times New Roman" w:eastAsia="楷体_GB2312" w:cs="Times New Roman"/>
          <w:b/>
          <w:bCs/>
          <w:color w:val="333333"/>
          <w:kern w:val="0"/>
          <w:sz w:val="32"/>
          <w:szCs w:val="32"/>
        </w:rPr>
        <w:t>。</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2020年财政拨款收入2</w:t>
      </w:r>
      <w:r>
        <w:rPr>
          <w:rFonts w:ascii="仿宋_GB2312" w:hAnsi="Times New Roman" w:eastAsia="仿宋_GB2312" w:cs="Times New Roman"/>
          <w:color w:val="333333"/>
          <w:kern w:val="0"/>
          <w:sz w:val="32"/>
          <w:szCs w:val="32"/>
        </w:rPr>
        <w:t>430040</w:t>
      </w:r>
      <w:r>
        <w:rPr>
          <w:rFonts w:hint="eastAsia" w:ascii="仿宋_GB2312" w:hAnsi="Times New Roman" w:eastAsia="仿宋_GB2312" w:cs="Times New Roman"/>
          <w:color w:val="333333"/>
          <w:kern w:val="0"/>
          <w:sz w:val="32"/>
          <w:szCs w:val="32"/>
        </w:rPr>
        <w:t>元，同比增加344211元，增长16.5</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。一是苍海新区和苍海湿地公园在职在编人员增加；二是苍海湿地公园转移性收入资金列入本市级部门预算资金收入使收入预算总体有所增加。</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1、一般公共预算拨款</w:t>
      </w:r>
      <w:r>
        <w:rPr>
          <w:rFonts w:ascii="仿宋_GB2312" w:hAnsi="Times New Roman" w:eastAsia="仿宋_GB2312" w:cs="Times New Roman"/>
          <w:color w:val="333333"/>
          <w:kern w:val="0"/>
          <w:sz w:val="32"/>
          <w:szCs w:val="32"/>
        </w:rPr>
        <w:t>2430040</w:t>
      </w:r>
      <w:r>
        <w:rPr>
          <w:rFonts w:hint="eastAsia" w:ascii="仿宋_GB2312" w:hAnsi="Times New Roman" w:eastAsia="仿宋_GB2312" w:cs="Times New Roman"/>
          <w:color w:val="333333"/>
          <w:kern w:val="0"/>
          <w:sz w:val="32"/>
          <w:szCs w:val="32"/>
        </w:rPr>
        <w:t>元，同比增加344211元，增长16.5</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snapToGrid w:val="0"/>
        <w:spacing w:line="560" w:lineRule="exact"/>
        <w:ind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color w:val="333333"/>
          <w:kern w:val="0"/>
          <w:sz w:val="32"/>
          <w:szCs w:val="32"/>
        </w:rPr>
        <w:t>2、</w:t>
      </w:r>
      <w:r>
        <w:rPr>
          <w:rFonts w:hint="eastAsia" w:ascii="仿宋_GB2312" w:hAnsi="宋体" w:eastAsia="仿宋_GB2312" w:cs="宋体"/>
          <w:kern w:val="0"/>
          <w:sz w:val="32"/>
          <w:szCs w:val="32"/>
        </w:rPr>
        <w:t>本单位无政府性基金拨款收入，同比无变化。</w:t>
      </w:r>
    </w:p>
    <w:p>
      <w:pPr>
        <w:widowControl/>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333333"/>
          <w:kern w:val="0"/>
          <w:sz w:val="32"/>
          <w:szCs w:val="32"/>
        </w:rPr>
        <w:t>3、</w:t>
      </w:r>
      <w:r>
        <w:rPr>
          <w:rFonts w:hint="eastAsia" w:ascii="仿宋_GB2312" w:hAnsi="Times New Roman" w:eastAsia="仿宋_GB2312" w:cs="Times New Roman"/>
          <w:kern w:val="0"/>
          <w:sz w:val="32"/>
          <w:szCs w:val="32"/>
        </w:rPr>
        <w:t>本单位转移性收入</w:t>
      </w:r>
      <w:r>
        <w:rPr>
          <w:rFonts w:ascii="仿宋_GB2312" w:hAnsi="Times New Roman" w:eastAsia="仿宋_GB2312" w:cs="Times New Roman"/>
          <w:kern w:val="0"/>
          <w:sz w:val="32"/>
          <w:szCs w:val="32"/>
        </w:rPr>
        <w:t>3000000</w:t>
      </w:r>
      <w:r>
        <w:rPr>
          <w:rFonts w:hint="eastAsia" w:ascii="仿宋_GB2312" w:hAnsi="Times New Roman" w:eastAsia="仿宋_GB2312" w:cs="Times New Roman"/>
          <w:kern w:val="0"/>
          <w:sz w:val="32"/>
          <w:szCs w:val="32"/>
        </w:rPr>
        <w:t>元</w:t>
      </w:r>
      <w:r>
        <w:rPr>
          <w:rFonts w:hint="eastAsia" w:ascii="仿宋_GB2312" w:hAnsi="宋体" w:eastAsia="仿宋_GB2312" w:cs="宋体"/>
          <w:kern w:val="0"/>
          <w:sz w:val="32"/>
          <w:szCs w:val="32"/>
        </w:rPr>
        <w:t>，同比增加2000000元，增长200%。</w:t>
      </w:r>
      <w:r>
        <w:rPr>
          <w:rFonts w:hint="eastAsia" w:ascii="仿宋_GB2312" w:hAnsi="宋体" w:eastAsia="仿宋_GB2312" w:cs="宋体"/>
          <w:kern w:val="0"/>
          <w:sz w:val="32"/>
          <w:szCs w:val="32"/>
          <w:lang w:eastAsia="zh-CN"/>
        </w:rPr>
        <w:t>增长的主要原因是</w:t>
      </w:r>
      <w:r>
        <w:rPr>
          <w:rFonts w:hint="eastAsia" w:ascii="仿宋_GB2312" w:hAnsi="Times New Roman" w:eastAsia="仿宋_GB2312" w:cs="Times New Roman"/>
          <w:color w:val="333333"/>
          <w:kern w:val="0"/>
          <w:sz w:val="32"/>
          <w:szCs w:val="32"/>
        </w:rPr>
        <w:t>苍海湿地公园</w:t>
      </w:r>
      <w:r>
        <w:rPr>
          <w:rFonts w:hint="eastAsia" w:ascii="仿宋_GB2312" w:hAnsi="Times New Roman" w:eastAsia="仿宋_GB2312" w:cs="Times New Roman"/>
          <w:color w:val="333333"/>
          <w:kern w:val="0"/>
          <w:sz w:val="32"/>
          <w:szCs w:val="32"/>
          <w:lang w:eastAsia="zh-CN"/>
        </w:rPr>
        <w:t>获得</w:t>
      </w:r>
      <w:r>
        <w:rPr>
          <w:rFonts w:hint="eastAsia" w:ascii="仿宋_GB2312" w:hAnsi="Times New Roman" w:eastAsia="仿宋_GB2312" w:cs="Times New Roman"/>
          <w:color w:val="333333"/>
          <w:kern w:val="0"/>
          <w:sz w:val="32"/>
          <w:szCs w:val="32"/>
          <w:lang w:val="en-US" w:eastAsia="zh-CN"/>
        </w:rPr>
        <w:t>2020年中央财政林业改革发展资金</w:t>
      </w:r>
      <w:r>
        <w:rPr>
          <w:rFonts w:ascii="仿宋_GB2312" w:hAnsi="Times New Roman" w:eastAsia="仿宋_GB2312" w:cs="Times New Roman"/>
          <w:kern w:val="0"/>
          <w:sz w:val="32"/>
          <w:szCs w:val="32"/>
        </w:rPr>
        <w:t>3000000</w:t>
      </w:r>
      <w:r>
        <w:rPr>
          <w:rFonts w:hint="eastAsia" w:ascii="仿宋_GB2312" w:hAnsi="Times New Roman" w:eastAsia="仿宋_GB2312" w:cs="Times New Roman"/>
          <w:kern w:val="0"/>
          <w:sz w:val="32"/>
          <w:szCs w:val="32"/>
        </w:rPr>
        <w:t>元</w:t>
      </w:r>
      <w:r>
        <w:rPr>
          <w:rFonts w:hint="eastAsia" w:ascii="仿宋_GB2312" w:hAnsi="Times New Roman" w:eastAsia="仿宋_GB2312" w:cs="Times New Roman"/>
          <w:color w:val="333333"/>
          <w:kern w:val="0"/>
          <w:sz w:val="32"/>
          <w:szCs w:val="32"/>
          <w:lang w:val="en-US" w:eastAsia="zh-CN"/>
        </w:rPr>
        <w:t>。</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color w:val="333333"/>
          <w:kern w:val="0"/>
          <w:sz w:val="32"/>
          <w:szCs w:val="32"/>
        </w:rPr>
        <w:t>上年结余收入0元</w:t>
      </w:r>
      <w:r>
        <w:rPr>
          <w:rFonts w:hint="eastAsia" w:ascii="仿宋_GB2312" w:hAnsi="Times New Roman" w:eastAsia="仿宋_GB2312" w:cs="Times New Roman"/>
          <w:color w:val="333333"/>
          <w:kern w:val="0"/>
          <w:sz w:val="32"/>
          <w:szCs w:val="32"/>
          <w:lang w:eastAsia="zh-CN"/>
        </w:rPr>
        <w:t>，</w:t>
      </w:r>
      <w:r>
        <w:rPr>
          <w:rFonts w:hint="eastAsia" w:ascii="仿宋_GB2312" w:hAnsi="Times New Roman" w:eastAsia="仿宋_GB2312" w:cs="Times New Roman"/>
          <w:color w:val="333333"/>
          <w:kern w:val="0"/>
          <w:sz w:val="32"/>
          <w:szCs w:val="32"/>
        </w:rPr>
        <w:t>同比无变化。</w:t>
      </w:r>
    </w:p>
    <w:p>
      <w:pPr>
        <w:tabs>
          <w:tab w:val="left" w:pos="142"/>
        </w:tabs>
        <w:snapToGrid w:val="0"/>
        <w:spacing w:line="560" w:lineRule="exact"/>
        <w:ind w:firstLine="643" w:firstLineChars="200"/>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bCs/>
          <w:color w:val="333333"/>
          <w:kern w:val="0"/>
          <w:sz w:val="32"/>
          <w:szCs w:val="32"/>
        </w:rPr>
        <w:t>（二）财政拨款支出总体情况。</w:t>
      </w:r>
    </w:p>
    <w:p>
      <w:pPr>
        <w:tabs>
          <w:tab w:val="left" w:pos="142"/>
        </w:tabs>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2020年财政拨款支出</w:t>
      </w:r>
      <w:r>
        <w:rPr>
          <w:rFonts w:ascii="仿宋_GB2312" w:hAnsi="Times New Roman" w:eastAsia="仿宋_GB2312" w:cs="Times New Roman"/>
          <w:color w:val="333333"/>
          <w:kern w:val="0"/>
          <w:sz w:val="32"/>
          <w:szCs w:val="32"/>
        </w:rPr>
        <w:t>2430040</w:t>
      </w:r>
      <w:r>
        <w:rPr>
          <w:rFonts w:hint="eastAsia" w:ascii="仿宋_GB2312" w:hAnsi="Times New Roman" w:eastAsia="仿宋_GB2312" w:cs="Times New Roman"/>
          <w:color w:val="333333"/>
          <w:kern w:val="0"/>
          <w:sz w:val="32"/>
          <w:szCs w:val="32"/>
        </w:rPr>
        <w:t>元，同比增加344211元，增长16.5</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。支出增加的主要原因一是苍海新区和苍海湿地公园在职在编人员增加。</w:t>
      </w:r>
    </w:p>
    <w:p>
      <w:pPr>
        <w:tabs>
          <w:tab w:val="left" w:pos="142"/>
        </w:tabs>
        <w:snapToGrid w:val="0"/>
        <w:spacing w:line="560" w:lineRule="exact"/>
        <w:ind w:firstLine="640" w:firstLineChars="200"/>
        <w:rPr>
          <w:rFonts w:ascii="仿宋_GB2312" w:eastAsia="仿宋_GB2312"/>
          <w:b/>
          <w:sz w:val="32"/>
          <w:szCs w:val="32"/>
        </w:rPr>
      </w:pPr>
      <w:r>
        <w:rPr>
          <w:rFonts w:hint="eastAsia" w:ascii="仿宋_GB2312" w:hAnsi="Times New Roman" w:eastAsia="仿宋_GB2312" w:cs="Times New Roman"/>
          <w:color w:val="333333"/>
          <w:kern w:val="0"/>
          <w:sz w:val="32"/>
          <w:szCs w:val="32"/>
        </w:rPr>
        <w:t>其中：</w:t>
      </w:r>
    </w:p>
    <w:p>
      <w:pPr>
        <w:widowControl/>
        <w:spacing w:line="56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333333"/>
          <w:kern w:val="0"/>
          <w:sz w:val="32"/>
          <w:szCs w:val="32"/>
        </w:rPr>
        <w:t>1、一般公共服务支出1935086元，占支出总预算</w:t>
      </w:r>
      <w:r>
        <w:rPr>
          <w:rFonts w:hint="eastAsia" w:ascii="仿宋_GB2312" w:hAnsi="Times New Roman" w:eastAsia="仿宋_GB2312" w:cs="Times New Roman"/>
          <w:kern w:val="0"/>
          <w:sz w:val="32"/>
          <w:szCs w:val="32"/>
        </w:rPr>
        <w:t>35.7</w:t>
      </w:r>
      <w:r>
        <w:rPr>
          <w:rFonts w:hint="eastAsia" w:ascii="仿宋_GB2312" w:hAnsi="Times New Roman" w:eastAsia="仿宋_GB2312" w:cs="Times New Roman"/>
          <w:color w:val="333333"/>
          <w:kern w:val="0"/>
          <w:sz w:val="32"/>
          <w:szCs w:val="32"/>
        </w:rPr>
        <w:t>%，同比增加282167元，增长17</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widowControl/>
        <w:spacing w:line="56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333333"/>
          <w:kern w:val="0"/>
          <w:sz w:val="32"/>
          <w:szCs w:val="32"/>
        </w:rPr>
        <w:t>2、社会保障和就业支出</w:t>
      </w:r>
      <w:r>
        <w:rPr>
          <w:rFonts w:ascii="仿宋_GB2312" w:hAnsi="Times New Roman" w:eastAsia="仿宋_GB2312" w:cs="Times New Roman"/>
          <w:color w:val="333333"/>
          <w:kern w:val="0"/>
          <w:sz w:val="32"/>
          <w:szCs w:val="32"/>
        </w:rPr>
        <w:t>219830</w:t>
      </w:r>
      <w:r>
        <w:rPr>
          <w:rFonts w:hint="eastAsia" w:ascii="仿宋_GB2312" w:hAnsi="Times New Roman" w:eastAsia="仿宋_GB2312" w:cs="Times New Roman"/>
          <w:color w:val="333333"/>
          <w:kern w:val="0"/>
          <w:sz w:val="32"/>
          <w:szCs w:val="32"/>
        </w:rPr>
        <w:t>元，占支出总预算4%，同比增加4010元，增长1.9%。主要是苍海新区和苍海湿地公园在职在编人员增加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widowControl/>
        <w:spacing w:line="560" w:lineRule="exact"/>
        <w:ind w:firstLine="643" w:firstLineChars="200"/>
        <w:rPr>
          <w:rFonts w:ascii="仿宋_GB2312" w:hAnsi="Times New Roman" w:eastAsia="仿宋_GB2312" w:cs="Times New Roman"/>
          <w:kern w:val="0"/>
          <w:sz w:val="32"/>
          <w:szCs w:val="32"/>
        </w:rPr>
      </w:pPr>
      <w:r>
        <w:rPr>
          <w:rFonts w:hint="eastAsia" w:ascii="Times New Roman" w:hAnsi="Times New Roman" w:eastAsia="宋体" w:cs="Times New Roman"/>
          <w:color w:val="333333"/>
          <w:kern w:val="0"/>
          <w:sz w:val="32"/>
          <w:szCs w:val="32"/>
        </w:rPr>
        <w:t>3、</w:t>
      </w:r>
      <w:r>
        <w:rPr>
          <w:rFonts w:hint="eastAsia" w:ascii="仿宋_GB2312" w:hAnsi="Times New Roman" w:eastAsia="仿宋_GB2312" w:cs="Times New Roman"/>
          <w:color w:val="333333"/>
          <w:kern w:val="0"/>
          <w:sz w:val="32"/>
          <w:szCs w:val="32"/>
        </w:rPr>
        <w:t>卫生健康支出110251元，占支出总预算1.9%，同比增加22653元，增长27.6%。主要是苍海新区和苍海湿地公园在职在编人员增加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widowControl/>
        <w:spacing w:line="56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333333"/>
          <w:kern w:val="0"/>
          <w:sz w:val="32"/>
          <w:szCs w:val="32"/>
        </w:rPr>
        <w:t>4、住房保障支出</w:t>
      </w:r>
      <w:r>
        <w:rPr>
          <w:rFonts w:ascii="仿宋_GB2312" w:hAnsi="Times New Roman" w:eastAsia="仿宋_GB2312" w:cs="Times New Roman"/>
          <w:color w:val="333333"/>
          <w:kern w:val="0"/>
          <w:sz w:val="32"/>
          <w:szCs w:val="32"/>
        </w:rPr>
        <w:t>164873</w:t>
      </w:r>
      <w:r>
        <w:rPr>
          <w:rFonts w:hint="eastAsia" w:ascii="仿宋_GB2312" w:hAnsi="Times New Roman" w:eastAsia="仿宋_GB2312" w:cs="Times New Roman"/>
          <w:color w:val="333333"/>
          <w:kern w:val="0"/>
          <w:sz w:val="32"/>
          <w:szCs w:val="32"/>
        </w:rPr>
        <w:t>元，占支出总预算3%，同比增加35381元，增长27.3%。主要是苍海新区和苍海湿地公园在职在编人员增加</w:t>
      </w:r>
      <w:r>
        <w:rPr>
          <w:rFonts w:hint="eastAsia" w:ascii="仿宋_GB2312" w:hAnsi="Times New Roman" w:eastAsia="仿宋_GB2312" w:cs="Times New Roman"/>
          <w:color w:val="333333"/>
          <w:kern w:val="0"/>
          <w:sz w:val="32"/>
          <w:szCs w:val="32"/>
          <w:lang w:eastAsia="zh-CN"/>
        </w:rPr>
        <w:t>。</w:t>
      </w:r>
    </w:p>
    <w:p>
      <w:pPr>
        <w:pStyle w:val="8"/>
        <w:snapToGrid w:val="0"/>
        <w:spacing w:line="560" w:lineRule="exact"/>
        <w:ind w:firstLine="643"/>
        <w:rPr>
          <w:rFonts w:ascii="仿宋_GB2312" w:hAnsi="Times New Roman" w:eastAsia="仿宋_GB2312" w:cs="Times New Roman"/>
          <w:b/>
          <w:bCs/>
          <w:kern w:val="0"/>
          <w:sz w:val="32"/>
        </w:rPr>
      </w:pPr>
      <w:r>
        <w:rPr>
          <w:rFonts w:hint="eastAsia" w:ascii="楷体_GB2312" w:hAnsi="Times New Roman" w:eastAsia="楷体_GB2312" w:cs="Times New Roman"/>
          <w:b/>
          <w:bCs/>
          <w:kern w:val="0"/>
          <w:sz w:val="32"/>
        </w:rPr>
        <w:t>（三）一般公共预算支出按支出功能分类科目划分</w:t>
      </w:r>
    </w:p>
    <w:p>
      <w:pPr>
        <w:snapToGrid w:val="0"/>
        <w:spacing w:line="560" w:lineRule="exact"/>
        <w:ind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color w:val="333333"/>
          <w:kern w:val="0"/>
          <w:sz w:val="32"/>
          <w:szCs w:val="32"/>
        </w:rPr>
        <w:t>1、一般公共服务支出1935086元，占支出总预算35.7%，同比增加282167元，增长17</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。主要是苍海新区和苍海湿地公园在职在编人员增加。</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其中：基本支出1935086元，项目支出0元。主要用于其他政府办公厅（室）及相关机构事务支出</w:t>
      </w:r>
      <w:r>
        <w:rPr>
          <w:rFonts w:hint="eastAsia" w:ascii="仿宋_GB2312" w:hAnsi="Times New Roman" w:eastAsia="仿宋_GB2312" w:cs="Times New Roman"/>
          <w:color w:val="333333"/>
          <w:kern w:val="0"/>
          <w:sz w:val="32"/>
          <w:szCs w:val="32"/>
          <w:lang w:eastAsia="zh-CN"/>
        </w:rPr>
        <w:t>和一般行政管理事务（统计信息事务）</w:t>
      </w:r>
      <w:r>
        <w:rPr>
          <w:rFonts w:hint="eastAsia" w:ascii="仿宋_GB2312" w:hAnsi="Times New Roman" w:eastAsia="仿宋_GB2312" w:cs="Times New Roman"/>
          <w:color w:val="333333"/>
          <w:kern w:val="0"/>
          <w:sz w:val="32"/>
          <w:szCs w:val="32"/>
        </w:rPr>
        <w:t>。</w:t>
      </w:r>
    </w:p>
    <w:p>
      <w:pPr>
        <w:widowControl/>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333333"/>
          <w:kern w:val="0"/>
          <w:sz w:val="32"/>
          <w:szCs w:val="32"/>
        </w:rPr>
        <w:t>2、社会保障和就业支出</w:t>
      </w:r>
      <w:r>
        <w:rPr>
          <w:rFonts w:ascii="仿宋_GB2312" w:hAnsi="Times New Roman" w:eastAsia="仿宋_GB2312" w:cs="Times New Roman"/>
          <w:color w:val="333333"/>
          <w:kern w:val="0"/>
          <w:sz w:val="32"/>
          <w:szCs w:val="32"/>
        </w:rPr>
        <w:t>219830</w:t>
      </w:r>
      <w:r>
        <w:rPr>
          <w:rFonts w:hint="eastAsia" w:ascii="仿宋_GB2312" w:hAnsi="Times New Roman" w:eastAsia="仿宋_GB2312" w:cs="Times New Roman"/>
          <w:color w:val="333333"/>
          <w:kern w:val="0"/>
          <w:sz w:val="32"/>
          <w:szCs w:val="32"/>
        </w:rPr>
        <w:t>元，占支出总预算4%，同比增加4010元，增长1.9%。其中：基本支出</w:t>
      </w:r>
      <w:r>
        <w:rPr>
          <w:rFonts w:ascii="仿宋_GB2312" w:hAnsi="Times New Roman" w:eastAsia="仿宋_GB2312" w:cs="Times New Roman"/>
          <w:color w:val="333333"/>
          <w:kern w:val="0"/>
          <w:sz w:val="32"/>
          <w:szCs w:val="32"/>
        </w:rPr>
        <w:t>219830</w:t>
      </w:r>
      <w:r>
        <w:rPr>
          <w:rFonts w:hint="eastAsia" w:ascii="仿宋_GB2312" w:hAnsi="Times New Roman" w:eastAsia="仿宋_GB2312" w:cs="Times New Roman"/>
          <w:color w:val="333333"/>
          <w:kern w:val="0"/>
          <w:sz w:val="32"/>
          <w:szCs w:val="32"/>
        </w:rPr>
        <w:t>元，项目支出0元。主要用于机关事业单位基本养老保险缴费支出。</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3、卫生健康支出110251元，占支出总预算1.9%，同比增加22653元，增长27.6%。其中：基本支出110251元，项目支出0元。主要用于事业单位医疗。</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4、住房保障支出</w:t>
      </w:r>
      <w:r>
        <w:rPr>
          <w:rFonts w:ascii="仿宋_GB2312" w:hAnsi="Times New Roman" w:eastAsia="仿宋_GB2312" w:cs="Times New Roman"/>
          <w:color w:val="333333"/>
          <w:kern w:val="0"/>
          <w:sz w:val="32"/>
          <w:szCs w:val="32"/>
        </w:rPr>
        <w:t>164873</w:t>
      </w:r>
      <w:r>
        <w:rPr>
          <w:rFonts w:hint="eastAsia" w:ascii="仿宋_GB2312" w:hAnsi="Times New Roman" w:eastAsia="仿宋_GB2312" w:cs="Times New Roman"/>
          <w:color w:val="333333"/>
          <w:kern w:val="0"/>
          <w:sz w:val="32"/>
          <w:szCs w:val="32"/>
        </w:rPr>
        <w:t>元，占支出总预算3%，同比增加35381元，增长27.3%。其中：基本支出</w:t>
      </w:r>
      <w:r>
        <w:rPr>
          <w:rFonts w:ascii="仿宋_GB2312" w:hAnsi="Times New Roman" w:eastAsia="仿宋_GB2312" w:cs="Times New Roman"/>
          <w:color w:val="333333"/>
          <w:kern w:val="0"/>
          <w:sz w:val="32"/>
          <w:szCs w:val="32"/>
        </w:rPr>
        <w:t>164873</w:t>
      </w:r>
      <w:r>
        <w:rPr>
          <w:rFonts w:hint="eastAsia" w:ascii="仿宋_GB2312" w:hAnsi="Times New Roman" w:eastAsia="仿宋_GB2312" w:cs="Times New Roman"/>
          <w:color w:val="333333"/>
          <w:kern w:val="0"/>
          <w:sz w:val="32"/>
          <w:szCs w:val="32"/>
        </w:rPr>
        <w:t>元，项目支出0元。主要用于住房公积金。</w:t>
      </w:r>
    </w:p>
    <w:p>
      <w:pPr>
        <w:pStyle w:val="8"/>
        <w:snapToGrid w:val="0"/>
        <w:spacing w:line="560" w:lineRule="exact"/>
        <w:ind w:firstLine="643"/>
        <w:rPr>
          <w:rFonts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（四）一般公共预算支出按部门经济科目划分</w:t>
      </w:r>
    </w:p>
    <w:p>
      <w:pPr>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1、基本支出预算</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基本支出预算</w:t>
      </w:r>
      <w:r>
        <w:rPr>
          <w:rFonts w:ascii="仿宋_GB2312" w:hAnsi="Times New Roman" w:eastAsia="仿宋_GB2312" w:cs="Times New Roman"/>
          <w:color w:val="333333"/>
          <w:kern w:val="0"/>
          <w:sz w:val="32"/>
          <w:szCs w:val="32"/>
        </w:rPr>
        <w:t>2430040</w:t>
      </w:r>
      <w:r>
        <w:rPr>
          <w:rFonts w:hint="eastAsia" w:ascii="仿宋_GB2312" w:hAnsi="Times New Roman" w:eastAsia="仿宋_GB2312" w:cs="Times New Roman"/>
          <w:color w:val="333333"/>
          <w:kern w:val="0"/>
          <w:sz w:val="32"/>
          <w:szCs w:val="32"/>
        </w:rPr>
        <w:t>元，占支出总预算44.8%，同比增加344211元，增长16.5</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。主要是苍海新区和苍海湿地公园在职在编人员增加。</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工资福利支出预算</w:t>
      </w:r>
      <w:r>
        <w:rPr>
          <w:rFonts w:ascii="仿宋_GB2312" w:hAnsi="Times New Roman" w:eastAsia="仿宋_GB2312" w:cs="Times New Roman"/>
          <w:color w:val="333333"/>
          <w:kern w:val="0"/>
          <w:sz w:val="32"/>
          <w:szCs w:val="32"/>
        </w:rPr>
        <w:t>2072440</w:t>
      </w:r>
      <w:r>
        <w:rPr>
          <w:rFonts w:hint="eastAsia" w:ascii="仿宋_GB2312" w:hAnsi="Times New Roman" w:eastAsia="仿宋_GB2312" w:cs="Times New Roman"/>
          <w:color w:val="333333"/>
          <w:kern w:val="0"/>
          <w:sz w:val="32"/>
          <w:szCs w:val="32"/>
        </w:rPr>
        <w:t>元，占基本支出总预算85.3%，同比增加370251元，增长21.8</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。主要是工资调整以及人员增加等原因增加了支出。</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kern w:val="0"/>
          <w:sz w:val="32"/>
          <w:szCs w:val="32"/>
        </w:rPr>
        <w:t>商品和服务支出预算</w:t>
      </w:r>
      <w:r>
        <w:rPr>
          <w:rFonts w:ascii="仿宋_GB2312" w:hAnsi="Times New Roman" w:eastAsia="仿宋_GB2312" w:cs="Times New Roman"/>
          <w:kern w:val="0"/>
          <w:sz w:val="32"/>
          <w:szCs w:val="32"/>
        </w:rPr>
        <w:t>357600</w:t>
      </w:r>
      <w:r>
        <w:rPr>
          <w:rFonts w:hint="eastAsia" w:ascii="仿宋_GB2312" w:hAnsi="Times New Roman" w:eastAsia="仿宋_GB2312" w:cs="Times New Roman"/>
          <w:kern w:val="0"/>
          <w:sz w:val="32"/>
          <w:szCs w:val="32"/>
        </w:rPr>
        <w:t>元，占基本支出总预算14.7%，同比减少26040元，下降6.8</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。主要原因是根据相关文件规定和实际在职、在编人数核算其他交通费用减少使商品和服务支出预算</w:t>
      </w:r>
      <w:r>
        <w:rPr>
          <w:rFonts w:hint="eastAsia" w:ascii="仿宋_GB2312" w:hAnsi="Times New Roman" w:eastAsia="仿宋_GB2312" w:cs="Times New Roman"/>
          <w:color w:val="333333"/>
          <w:kern w:val="0"/>
          <w:sz w:val="32"/>
          <w:szCs w:val="32"/>
        </w:rPr>
        <w:t>总体减少。</w:t>
      </w:r>
    </w:p>
    <w:p>
      <w:pPr>
        <w:tabs>
          <w:tab w:val="center" w:pos="4475"/>
        </w:tabs>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2、项目支出预算</w:t>
      </w:r>
    </w:p>
    <w:p>
      <w:pPr>
        <w:tabs>
          <w:tab w:val="center" w:pos="4475"/>
        </w:tabs>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eastAsia="仿宋_GB2312"/>
          <w:sz w:val="32"/>
          <w:szCs w:val="32"/>
        </w:rPr>
        <w:t>我单位全部为基本支出预算，没有项目支出预算。</w:t>
      </w:r>
    </w:p>
    <w:p>
      <w:pPr>
        <w:spacing w:line="560" w:lineRule="exact"/>
        <w:ind w:firstLine="643" w:firstLineChars="200"/>
        <w:rPr>
          <w:rFonts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（五）一般公共预算支出按政府经济科目划分</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Times New Roman" w:eastAsia="仿宋_GB2312" w:cs="Times New Roman"/>
          <w:bCs/>
          <w:color w:val="000000" w:themeColor="text1"/>
          <w:kern w:val="0"/>
          <w:sz w:val="32"/>
          <w:szCs w:val="32"/>
        </w:rPr>
        <w:t>对事业单位经常性补助2430040</w:t>
      </w:r>
      <w:r>
        <w:rPr>
          <w:rFonts w:hint="eastAsia" w:ascii="仿宋_GB2312" w:hAnsi="Times New Roman" w:eastAsia="仿宋_GB2312" w:cs="Times New Roman"/>
          <w:bCs/>
          <w:color w:val="000000" w:themeColor="text1"/>
          <w:kern w:val="0"/>
          <w:sz w:val="32"/>
          <w:szCs w:val="32"/>
          <w:lang w:eastAsia="zh-CN"/>
        </w:rPr>
        <w:t>元，</w:t>
      </w:r>
      <w:r>
        <w:rPr>
          <w:rFonts w:hint="eastAsia" w:ascii="仿宋_GB2312" w:hAnsi="宋体" w:eastAsia="仿宋_GB2312" w:cs="宋体"/>
          <w:kern w:val="0"/>
          <w:sz w:val="32"/>
          <w:szCs w:val="32"/>
        </w:rPr>
        <w:t>其中：①机关工资福利支出2072440元，② 商品和服务支出357600</w:t>
      </w:r>
      <w:r>
        <w:rPr>
          <w:rFonts w:hint="eastAsia" w:ascii="仿宋_GB2312" w:hAnsi="宋体" w:eastAsia="仿宋_GB2312" w:cs="宋体"/>
          <w:kern w:val="0"/>
          <w:sz w:val="32"/>
          <w:szCs w:val="32"/>
          <w:lang w:eastAsia="zh-CN"/>
        </w:rPr>
        <w:t>元。</w:t>
      </w:r>
    </w:p>
    <w:p>
      <w:pPr>
        <w:spacing w:line="560" w:lineRule="exact"/>
        <w:ind w:firstLine="643" w:firstLineChars="200"/>
        <w:rPr>
          <w:rFonts w:ascii="仿宋_GB2312" w:hAnsi="Times New Roman" w:eastAsia="仿宋_GB2312" w:cs="Times New Roman"/>
          <w:color w:val="333333"/>
          <w:kern w:val="0"/>
          <w:sz w:val="32"/>
          <w:szCs w:val="32"/>
        </w:rPr>
      </w:pPr>
      <w:r>
        <w:rPr>
          <w:rFonts w:hint="eastAsia" w:ascii="黑体" w:hAnsi="黑体" w:eastAsia="黑体" w:cs="Times New Roman"/>
          <w:b/>
          <w:color w:val="333333"/>
          <w:kern w:val="0"/>
          <w:sz w:val="32"/>
          <w:szCs w:val="32"/>
        </w:rPr>
        <w:t>三、</w:t>
      </w:r>
      <w:r>
        <w:rPr>
          <w:rFonts w:hint="eastAsia" w:ascii="黑体" w:hAnsi="仿宋" w:eastAsia="黑体" w:cs="宋体"/>
          <w:b/>
          <w:color w:val="000000"/>
          <w:kern w:val="0"/>
          <w:sz w:val="32"/>
          <w:szCs w:val="32"/>
        </w:rPr>
        <w:t>2020年政府性基金预算支出预算情况</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2020年本部门无政府性基金收支业务，因此没有相应的政府基金收支预算。</w:t>
      </w:r>
    </w:p>
    <w:p>
      <w:pPr>
        <w:spacing w:line="560" w:lineRule="exact"/>
        <w:ind w:firstLine="643" w:firstLineChars="20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四、2020年部门预算安排的“三公”经费预算情况</w:t>
      </w:r>
    </w:p>
    <w:p>
      <w:pPr>
        <w:widowControl/>
        <w:spacing w:line="560" w:lineRule="exact"/>
        <w:ind w:firstLine="482" w:firstLineChars="150"/>
        <w:rPr>
          <w:rFonts w:ascii="楷体_GB2312" w:hAnsi="Times New Roman" w:eastAsia="楷体_GB2312" w:cs="Times New Roman"/>
          <w:b/>
          <w:color w:val="333333"/>
          <w:kern w:val="0"/>
          <w:sz w:val="32"/>
          <w:szCs w:val="32"/>
        </w:rPr>
      </w:pPr>
      <w:r>
        <w:rPr>
          <w:rFonts w:hint="eastAsia" w:ascii="楷体_GB2312" w:hAnsi="Times New Roman" w:eastAsia="楷体_GB2312" w:cs="Times New Roman"/>
          <w:b/>
          <w:color w:val="333333"/>
          <w:kern w:val="0"/>
          <w:sz w:val="32"/>
          <w:szCs w:val="32"/>
        </w:rPr>
        <w:t>（一）2020年部门预算全口径安排的</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三公</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经费预算情况。</w:t>
      </w:r>
    </w:p>
    <w:p>
      <w:pPr>
        <w:widowControl/>
        <w:spacing w:line="560" w:lineRule="exact"/>
        <w:ind w:firstLine="640" w:firstLineChars="20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2020年</w:t>
      </w:r>
      <w:r>
        <w:rPr>
          <w:rFonts w:hint="eastAsia" w:ascii="仿宋_GB2312" w:hAnsi="Times New Roman" w:eastAsia="仿宋_GB2312" w:cs="Times New Roman"/>
          <w:color w:val="333333"/>
          <w:kern w:val="0"/>
          <w:sz w:val="32"/>
          <w:szCs w:val="32"/>
        </w:rPr>
        <w:t>部门预算全口径安排</w:t>
      </w:r>
      <w:r>
        <w:rPr>
          <w:rFonts w:hint="eastAsia" w:ascii="仿宋_GB2312" w:hAnsi="宋体" w:eastAsia="仿宋_GB2312" w:cs="宋体"/>
          <w:color w:val="333333"/>
          <w:kern w:val="0"/>
          <w:sz w:val="32"/>
          <w:szCs w:val="32"/>
        </w:rPr>
        <w:t>“</w:t>
      </w:r>
      <w:r>
        <w:rPr>
          <w:rFonts w:hint="eastAsia" w:ascii="仿宋_GB2312" w:hAnsi="Times New Roman" w:eastAsia="仿宋_GB2312" w:cs="Times New Roman"/>
          <w:color w:val="333333"/>
          <w:kern w:val="0"/>
          <w:sz w:val="32"/>
          <w:szCs w:val="32"/>
        </w:rPr>
        <w:t>三公</w:t>
      </w:r>
      <w:r>
        <w:rPr>
          <w:rFonts w:hint="eastAsia" w:ascii="仿宋_GB2312" w:hAnsi="宋体" w:eastAsia="仿宋_GB2312" w:cs="宋体"/>
          <w:color w:val="333333"/>
          <w:kern w:val="0"/>
          <w:sz w:val="32"/>
          <w:szCs w:val="32"/>
        </w:rPr>
        <w:t>”</w:t>
      </w:r>
      <w:r>
        <w:rPr>
          <w:rFonts w:hint="eastAsia" w:ascii="仿宋_GB2312" w:hAnsi="Times New Roman" w:eastAsia="仿宋_GB2312" w:cs="Times New Roman"/>
          <w:color w:val="333333"/>
          <w:kern w:val="0"/>
          <w:sz w:val="32"/>
          <w:szCs w:val="32"/>
        </w:rPr>
        <w:t>经费支出预算</w:t>
      </w:r>
      <w:r>
        <w:rPr>
          <w:rFonts w:ascii="仿宋_GB2312" w:hAnsi="Times New Roman" w:eastAsia="仿宋_GB2312" w:cs="Times New Roman"/>
          <w:color w:val="333333"/>
          <w:kern w:val="0"/>
          <w:sz w:val="32"/>
          <w:szCs w:val="32"/>
        </w:rPr>
        <w:t>14200</w:t>
      </w:r>
      <w:r>
        <w:rPr>
          <w:rFonts w:hint="eastAsia" w:ascii="仿宋_GB2312" w:hAnsi="Times New Roman" w:eastAsia="仿宋_GB2312" w:cs="Times New Roman"/>
          <w:color w:val="333333"/>
          <w:kern w:val="0"/>
          <w:sz w:val="32"/>
          <w:szCs w:val="32"/>
        </w:rPr>
        <w:t>元，同比减少800元，下降5.3%</w:t>
      </w:r>
      <w:r>
        <w:rPr>
          <w:rFonts w:hint="eastAsia" w:ascii="Times New Roman" w:hAnsi="Times New Roman" w:eastAsia="宋体" w:cs="Times New Roman"/>
          <w:kern w:val="0"/>
          <w:sz w:val="32"/>
          <w:szCs w:val="32"/>
        </w:rPr>
        <w:t>。</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1、因公出国（境）经费支出预算0元，同比无变化。</w:t>
      </w:r>
      <w:r>
        <w:rPr>
          <w:rFonts w:hint="eastAsia" w:ascii="仿宋_GB2312" w:eastAsia="仿宋_GB2312"/>
          <w:sz w:val="32"/>
          <w:szCs w:val="32"/>
        </w:rPr>
        <w:t>根据财政局统一要求，各部门一般公共预算安排的因公出国（境）费不编入部门预算，执行中根据外事管理部门批准的年度出国计划申请调整支出。</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2、公务接待费支出预算</w:t>
      </w:r>
      <w:r>
        <w:rPr>
          <w:rFonts w:ascii="仿宋_GB2312" w:hAnsi="Times New Roman" w:eastAsia="仿宋_GB2312" w:cs="Times New Roman"/>
          <w:color w:val="333333"/>
          <w:kern w:val="0"/>
          <w:sz w:val="32"/>
          <w:szCs w:val="32"/>
        </w:rPr>
        <w:t>14200</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color w:val="333333"/>
          <w:kern w:val="0"/>
          <w:sz w:val="32"/>
          <w:szCs w:val="32"/>
        </w:rPr>
        <w:t>同比减少800元，下降5.3%</w:t>
      </w:r>
      <w:r>
        <w:rPr>
          <w:rFonts w:hint="eastAsia" w:ascii="Times New Roman" w:hAnsi="Times New Roman" w:eastAsia="宋体" w:cs="Times New Roman"/>
          <w:kern w:val="0"/>
          <w:sz w:val="32"/>
          <w:szCs w:val="32"/>
        </w:rPr>
        <w:t>。</w:t>
      </w:r>
      <w:r>
        <w:rPr>
          <w:rFonts w:hint="eastAsia" w:ascii="仿宋_GB2312" w:hAnsi="Times New Roman" w:eastAsia="仿宋_GB2312" w:cs="Times New Roman"/>
          <w:color w:val="333333"/>
          <w:kern w:val="0"/>
          <w:sz w:val="32"/>
          <w:szCs w:val="32"/>
        </w:rPr>
        <w:t>主要原因是根据相关文件规定缩减公务接待业务支出。</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3、公务用车购置费0元，同比无变化。其中：</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（1）公务用车运行维护费支出预算0元，本单位无公务用车运行费支出，同比无变化。</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（2）公务用车购置费0元，同比无变化。</w:t>
      </w:r>
    </w:p>
    <w:p>
      <w:pPr>
        <w:widowControl/>
        <w:spacing w:line="560" w:lineRule="exact"/>
        <w:ind w:firstLine="643" w:firstLineChars="200"/>
        <w:rPr>
          <w:rFonts w:ascii="楷体_GB2312" w:hAnsi="宋体" w:eastAsia="楷体_GB2312" w:cs="宋体"/>
          <w:b/>
          <w:color w:val="333333"/>
          <w:kern w:val="0"/>
          <w:szCs w:val="21"/>
        </w:rPr>
      </w:pPr>
      <w:r>
        <w:rPr>
          <w:rFonts w:hint="eastAsia" w:ascii="楷体_GB2312" w:hAnsi="Times New Roman" w:eastAsia="楷体_GB2312" w:cs="Times New Roman"/>
          <w:b/>
          <w:color w:val="333333"/>
          <w:kern w:val="0"/>
          <w:sz w:val="32"/>
          <w:szCs w:val="32"/>
        </w:rPr>
        <w:t>（二）2020年一般公共预算资金安排的</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三公</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经费预算情况。</w:t>
      </w:r>
    </w:p>
    <w:p>
      <w:pPr>
        <w:widowControl/>
        <w:spacing w:line="560" w:lineRule="exact"/>
        <w:ind w:firstLine="640" w:firstLineChars="200"/>
        <w:rPr>
          <w:rFonts w:ascii="宋体" w:hAnsi="宋体" w:eastAsia="宋体" w:cs="宋体"/>
          <w:color w:val="333333"/>
          <w:kern w:val="0"/>
          <w:szCs w:val="21"/>
        </w:rPr>
      </w:pPr>
      <w:r>
        <w:rPr>
          <w:rFonts w:ascii="Times New Roman" w:hAnsi="Times New Roman" w:eastAsia="宋体" w:cs="Times New Roman"/>
          <w:color w:val="333333"/>
          <w:kern w:val="0"/>
          <w:sz w:val="32"/>
          <w:szCs w:val="32"/>
        </w:rPr>
        <w:t>2020年</w:t>
      </w:r>
      <w:r>
        <w:rPr>
          <w:rFonts w:hint="eastAsia" w:ascii="仿宋_GB2312" w:hAnsi="Times New Roman" w:eastAsia="仿宋_GB2312" w:cs="Times New Roman"/>
          <w:color w:val="333333"/>
          <w:kern w:val="0"/>
          <w:sz w:val="32"/>
          <w:szCs w:val="32"/>
        </w:rPr>
        <w:t>一般公共预算安排的</w:t>
      </w:r>
      <w:r>
        <w:rPr>
          <w:rFonts w:hint="eastAsia" w:ascii="仿宋_GB2312" w:hAnsi="宋体" w:eastAsia="仿宋_GB2312" w:cs="宋体"/>
          <w:color w:val="333333"/>
          <w:kern w:val="0"/>
          <w:sz w:val="32"/>
          <w:szCs w:val="32"/>
        </w:rPr>
        <w:t>“</w:t>
      </w:r>
      <w:r>
        <w:rPr>
          <w:rFonts w:hint="eastAsia" w:ascii="仿宋_GB2312" w:hAnsi="Times New Roman" w:eastAsia="仿宋_GB2312" w:cs="Times New Roman"/>
          <w:color w:val="333333"/>
          <w:kern w:val="0"/>
          <w:sz w:val="32"/>
          <w:szCs w:val="32"/>
        </w:rPr>
        <w:t>三公</w:t>
      </w:r>
      <w:r>
        <w:rPr>
          <w:rFonts w:hint="eastAsia" w:ascii="仿宋_GB2312" w:hAnsi="宋体" w:eastAsia="仿宋_GB2312" w:cs="宋体"/>
          <w:color w:val="333333"/>
          <w:kern w:val="0"/>
          <w:sz w:val="32"/>
          <w:szCs w:val="32"/>
        </w:rPr>
        <w:t>”</w:t>
      </w:r>
      <w:r>
        <w:rPr>
          <w:rFonts w:hint="eastAsia" w:ascii="仿宋_GB2312" w:hAnsi="Times New Roman" w:eastAsia="仿宋_GB2312" w:cs="Times New Roman"/>
          <w:color w:val="333333"/>
          <w:kern w:val="0"/>
          <w:sz w:val="32"/>
          <w:szCs w:val="32"/>
        </w:rPr>
        <w:t>经费支出预算</w:t>
      </w:r>
      <w:r>
        <w:rPr>
          <w:rFonts w:ascii="仿宋_GB2312" w:hAnsi="Times New Roman" w:eastAsia="仿宋_GB2312" w:cs="Times New Roman"/>
          <w:color w:val="333333"/>
          <w:kern w:val="0"/>
          <w:sz w:val="32"/>
          <w:szCs w:val="32"/>
        </w:rPr>
        <w:t>14200</w:t>
      </w:r>
      <w:r>
        <w:rPr>
          <w:rFonts w:hint="eastAsia" w:ascii="仿宋_GB2312" w:hAnsi="Times New Roman" w:eastAsia="仿宋_GB2312" w:cs="Times New Roman"/>
          <w:color w:val="333333"/>
          <w:kern w:val="0"/>
          <w:sz w:val="32"/>
          <w:szCs w:val="32"/>
        </w:rPr>
        <w:t>元，同比减少800元</w:t>
      </w:r>
      <w:r>
        <w:rPr>
          <w:rFonts w:hint="eastAsia" w:ascii="Times New Roman" w:hAnsi="Times New Roman" w:eastAsia="宋体" w:cs="Times New Roman"/>
          <w:kern w:val="0"/>
          <w:sz w:val="32"/>
          <w:szCs w:val="32"/>
        </w:rPr>
        <w:t>。</w:t>
      </w:r>
      <w:r>
        <w:rPr>
          <w:rFonts w:hint="eastAsia" w:ascii="仿宋_GB2312" w:hAnsi="Times New Roman" w:eastAsia="仿宋_GB2312" w:cs="Times New Roman"/>
          <w:color w:val="333333"/>
          <w:kern w:val="0"/>
          <w:sz w:val="32"/>
          <w:szCs w:val="32"/>
        </w:rPr>
        <w:t>其中：</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1、因公出国（境）经费支出预算0元，同比无变化。</w:t>
      </w:r>
      <w:r>
        <w:rPr>
          <w:rFonts w:hint="eastAsia" w:ascii="仿宋_GB2312" w:eastAsia="仿宋_GB2312"/>
          <w:sz w:val="32"/>
          <w:szCs w:val="32"/>
        </w:rPr>
        <w:t>根据财政局统一要求，各部门一般公共预算安排的因公出国（境）费不编入部门预算，执行中根据外事管理部门批准的年度出国计划申请调整支出。</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2、公务接待费支出预算</w:t>
      </w:r>
      <w:r>
        <w:rPr>
          <w:rFonts w:ascii="仿宋_GB2312" w:hAnsi="Times New Roman" w:eastAsia="仿宋_GB2312" w:cs="Times New Roman"/>
          <w:color w:val="333333"/>
          <w:kern w:val="0"/>
          <w:sz w:val="32"/>
          <w:szCs w:val="32"/>
        </w:rPr>
        <w:t>14200</w:t>
      </w:r>
      <w:r>
        <w:rPr>
          <w:rFonts w:hint="eastAsia" w:ascii="仿宋_GB2312" w:hAnsi="Times New Roman" w:eastAsia="仿宋_GB2312" w:cs="Times New Roman"/>
          <w:color w:val="333333"/>
          <w:kern w:val="0"/>
          <w:sz w:val="32"/>
          <w:szCs w:val="32"/>
        </w:rPr>
        <w:t>元，同比减少800元，下降5.3%</w:t>
      </w:r>
      <w:r>
        <w:rPr>
          <w:rFonts w:hint="eastAsia" w:ascii="Times New Roman" w:hAnsi="Times New Roman" w:eastAsia="宋体" w:cs="Times New Roman"/>
          <w:kern w:val="0"/>
          <w:sz w:val="32"/>
          <w:szCs w:val="32"/>
        </w:rPr>
        <w:t>。</w:t>
      </w:r>
      <w:r>
        <w:rPr>
          <w:rFonts w:hint="eastAsia" w:ascii="仿宋_GB2312" w:hAnsi="Times New Roman" w:eastAsia="仿宋_GB2312" w:cs="Times New Roman"/>
          <w:color w:val="333333"/>
          <w:kern w:val="0"/>
          <w:sz w:val="32"/>
          <w:szCs w:val="32"/>
        </w:rPr>
        <w:t>主要原因是根据相关文件规定缩减公务接待业务支出。</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3、公务用车购置费0元，同比无变化。其中：</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（1）公务用车运行维护费支出预算0元，本单位无公务用车运行费支出，同比无变化。</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（2）公务用车购置费0元，同比无变化。</w:t>
      </w:r>
    </w:p>
    <w:p>
      <w:pPr>
        <w:widowControl/>
        <w:spacing w:line="560" w:lineRule="exact"/>
        <w:ind w:firstLine="630" w:firstLineChars="196"/>
        <w:rPr>
          <w:rFonts w:ascii="黑体" w:hAnsi="仿宋" w:eastAsia="黑体" w:cs="宋体"/>
          <w:b/>
          <w:color w:val="000000"/>
          <w:kern w:val="0"/>
          <w:sz w:val="32"/>
          <w:szCs w:val="32"/>
        </w:rPr>
      </w:pPr>
      <w:r>
        <w:rPr>
          <w:rFonts w:hint="eastAsia" w:ascii="黑体" w:hAnsi="仿宋" w:eastAsia="黑体" w:cs="宋体"/>
          <w:b/>
          <w:color w:val="000000"/>
          <w:kern w:val="0"/>
          <w:sz w:val="32"/>
          <w:szCs w:val="32"/>
        </w:rPr>
        <w:t>五、2020年部门预算其他事项说明</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(一)事业运行经费预算安排情况。</w:t>
      </w:r>
    </w:p>
    <w:p>
      <w:pPr>
        <w:snapToGrid w:val="0"/>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eastAsia="仿宋_GB2312"/>
          <w:sz w:val="32"/>
          <w:szCs w:val="32"/>
        </w:rPr>
        <w:t>苍海新区</w:t>
      </w:r>
      <w:bookmarkStart w:id="0" w:name="_GoBack"/>
      <w:bookmarkEnd w:id="0"/>
      <w:r>
        <w:rPr>
          <w:rFonts w:hint="eastAsia" w:ascii="仿宋_GB2312" w:eastAsia="仿宋_GB2312"/>
          <w:sz w:val="32"/>
          <w:szCs w:val="32"/>
        </w:rPr>
        <w:t>本级及下属单位共有2个事业单位，事业单位运行经费财政拨款预算</w:t>
      </w:r>
      <w:r>
        <w:rPr>
          <w:rFonts w:ascii="仿宋_GB2312" w:eastAsia="仿宋_GB2312"/>
          <w:sz w:val="32"/>
          <w:szCs w:val="32"/>
        </w:rPr>
        <w:t>357600</w:t>
      </w:r>
      <w:r>
        <w:rPr>
          <w:rFonts w:hint="eastAsia" w:ascii="仿宋_GB2312" w:eastAsia="仿宋_GB2312"/>
          <w:sz w:val="32"/>
          <w:szCs w:val="32"/>
        </w:rPr>
        <w:t>元，较2019年预算减少26040元，下降6.8%。主要原因一</w:t>
      </w:r>
      <w:r>
        <w:rPr>
          <w:rFonts w:hint="eastAsia" w:ascii="仿宋_GB2312" w:hAnsi="Times New Roman" w:eastAsia="仿宋_GB2312" w:cs="Times New Roman"/>
          <w:color w:val="333333"/>
          <w:kern w:val="0"/>
          <w:sz w:val="32"/>
          <w:szCs w:val="32"/>
        </w:rPr>
        <w:t>是根据相关文件规定和实际在职、在编人数核算其他交通费用减少使商品和服务支出预算总体减少</w:t>
      </w:r>
      <w:r>
        <w:rPr>
          <w:rFonts w:hint="eastAsia" w:ascii="仿宋_GB2312" w:eastAsia="仿宋_GB2312"/>
          <w:sz w:val="32"/>
          <w:szCs w:val="32"/>
        </w:rPr>
        <w:t>；二是苍海新区和苍海湿地公园在职、在编人员增加，</w:t>
      </w:r>
      <w:r>
        <w:rPr>
          <w:rFonts w:hint="eastAsia" w:ascii="仿宋_GB2312" w:hAnsi="Times New Roman" w:eastAsia="仿宋_GB2312" w:cs="Times New Roman"/>
          <w:color w:val="333333"/>
          <w:kern w:val="0"/>
          <w:sz w:val="32"/>
          <w:szCs w:val="32"/>
        </w:rPr>
        <w:t>主要用于办公费、印刷费、水电费、培训费、差旅费、会议费等日常公用经费支出。</w:t>
      </w:r>
    </w:p>
    <w:p>
      <w:pPr>
        <w:tabs>
          <w:tab w:val="center" w:pos="4475"/>
        </w:tabs>
        <w:spacing w:line="560" w:lineRule="exact"/>
        <w:ind w:firstLine="643" w:firstLineChars="200"/>
        <w:rPr>
          <w:rFonts w:ascii="仿宋_GB2312" w:hAnsi="宋体" w:eastAsia="仿宋_GB2312" w:cs="宋体"/>
          <w:color w:val="333333"/>
          <w:kern w:val="0"/>
          <w:szCs w:val="21"/>
        </w:rPr>
      </w:pPr>
      <w:r>
        <w:rPr>
          <w:rFonts w:hint="eastAsia" w:ascii="楷体_GB2312" w:hAnsi="Times New Roman" w:eastAsia="楷体_GB2312" w:cs="Times New Roman"/>
          <w:b/>
          <w:color w:val="333333"/>
          <w:kern w:val="0"/>
          <w:sz w:val="32"/>
          <w:szCs w:val="32"/>
        </w:rPr>
        <w:t>（二）政府采购预算安排情况</w:t>
      </w:r>
      <w:r>
        <w:rPr>
          <w:rFonts w:hint="eastAsia" w:ascii="仿宋_GB2312" w:hAnsi="Times New Roman" w:eastAsia="仿宋_GB2312" w:cs="Times New Roman"/>
          <w:color w:val="333333"/>
          <w:kern w:val="0"/>
          <w:sz w:val="32"/>
          <w:szCs w:val="32"/>
        </w:rPr>
        <w:t>。</w:t>
      </w:r>
    </w:p>
    <w:p>
      <w:pPr>
        <w:tabs>
          <w:tab w:val="center" w:pos="4475"/>
        </w:tabs>
        <w:spacing w:line="560" w:lineRule="exact"/>
        <w:ind w:firstLine="640" w:firstLineChars="200"/>
        <w:rPr>
          <w:rFonts w:ascii="仿宋_GB2312" w:hAnsi="宋体" w:eastAsia="仿宋_GB2312" w:cs="宋体"/>
          <w:color w:val="333333"/>
          <w:kern w:val="0"/>
          <w:szCs w:val="21"/>
        </w:rPr>
      </w:pPr>
      <w:r>
        <w:rPr>
          <w:rFonts w:hint="eastAsia" w:ascii="仿宋_GB2312" w:hAnsi="Times New Roman" w:eastAsia="仿宋_GB2312" w:cs="Times New Roman"/>
          <w:color w:val="333333"/>
          <w:kern w:val="0"/>
          <w:sz w:val="32"/>
          <w:szCs w:val="32"/>
        </w:rPr>
        <w:t>2020年本单位无政府采购业务，因此没有相应的支出预算。</w:t>
      </w:r>
    </w:p>
    <w:p>
      <w:pPr>
        <w:widowControl/>
        <w:spacing w:line="560" w:lineRule="exact"/>
        <w:ind w:firstLine="482" w:firstLineChars="150"/>
        <w:rPr>
          <w:rFonts w:ascii="楷体_GB2312" w:hAnsi="宋体" w:eastAsia="楷体_GB2312" w:cs="宋体"/>
          <w:b/>
          <w:kern w:val="0"/>
          <w:szCs w:val="21"/>
        </w:rPr>
      </w:pPr>
      <w:r>
        <w:rPr>
          <w:rFonts w:hint="eastAsia" w:ascii="楷体_GB2312" w:hAnsi="Times New Roman" w:eastAsia="楷体_GB2312" w:cs="Times New Roman"/>
          <w:b/>
          <w:kern w:val="0"/>
          <w:sz w:val="32"/>
          <w:szCs w:val="32"/>
        </w:rPr>
        <w:t>（三）国有资产的总体情况。</w:t>
      </w:r>
    </w:p>
    <w:p>
      <w:pPr>
        <w:autoSpaceDE w:val="0"/>
        <w:autoSpaceDN w:val="0"/>
        <w:adjustRightInd w:val="0"/>
        <w:spacing w:line="560" w:lineRule="exact"/>
        <w:ind w:firstLine="640" w:firstLineChars="200"/>
        <w:rPr>
          <w:rFonts w:ascii="Times New Roman" w:hAnsi="Times New Roman" w:eastAsia="宋体" w:cs="Times New Roman"/>
          <w:b/>
          <w:color w:val="333333"/>
          <w:kern w:val="0"/>
          <w:sz w:val="32"/>
          <w:szCs w:val="32"/>
        </w:rPr>
      </w:pPr>
      <w:r>
        <w:rPr>
          <w:rFonts w:hint="eastAsia" w:ascii="仿宋_GB2312" w:hAnsi="Times New Roman" w:eastAsia="仿宋_GB2312" w:cs="Times New Roman"/>
          <w:color w:val="333333"/>
          <w:kern w:val="0"/>
          <w:sz w:val="32"/>
          <w:szCs w:val="32"/>
        </w:rPr>
        <w:t>苍海湿地公园共有车辆4辆，均为特种专业技术用车，主要是用于湿地巡护，其中：4轮电瓶车2辆，2轮电瓶车2辆。</w:t>
      </w:r>
    </w:p>
    <w:p>
      <w:pPr>
        <w:autoSpaceDE w:val="0"/>
        <w:autoSpaceDN w:val="0"/>
        <w:adjustRightInd w:val="0"/>
        <w:spacing w:line="560" w:lineRule="exact"/>
        <w:ind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kern w:val="0"/>
          <w:sz w:val="32"/>
          <w:szCs w:val="32"/>
        </w:rPr>
        <w:t>截至2019年12月31日，资产原值合计398867.8元</w:t>
      </w:r>
      <w:r>
        <w:rPr>
          <w:rFonts w:hint="eastAsia" w:ascii="仿宋_GB2312" w:hAnsi="Times New Roman" w:eastAsia="仿宋_GB2312" w:cs="Times New Roman"/>
          <w:color w:val="333333"/>
          <w:kern w:val="0"/>
          <w:sz w:val="32"/>
          <w:szCs w:val="32"/>
        </w:rPr>
        <w:t>，其中：（1）特种专业技术用车115260元；（2）通用设备69690元；（2）专用设备213917.8元。</w:t>
      </w:r>
    </w:p>
    <w:p>
      <w:pPr>
        <w:widowControl/>
        <w:spacing w:line="560" w:lineRule="exact"/>
        <w:ind w:firstLine="482" w:firstLineChars="150"/>
        <w:rPr>
          <w:rFonts w:ascii="楷体_GB2312" w:hAnsi="Times New Roman" w:eastAsia="楷体_GB2312" w:cs="Times New Roman"/>
          <w:b/>
          <w:color w:val="333333"/>
          <w:kern w:val="0"/>
          <w:sz w:val="32"/>
          <w:szCs w:val="32"/>
        </w:rPr>
      </w:pPr>
      <w:r>
        <w:rPr>
          <w:rFonts w:hint="eastAsia" w:ascii="楷体_GB2312" w:hAnsi="Times New Roman" w:eastAsia="楷体_GB2312" w:cs="Times New Roman"/>
          <w:b/>
          <w:color w:val="333333"/>
          <w:kern w:val="0"/>
          <w:sz w:val="32"/>
          <w:szCs w:val="32"/>
        </w:rPr>
        <w:t>（四）预算绩效说明。</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eastAsia="仿宋_GB2312"/>
          <w:color w:val="000000"/>
          <w:kern w:val="0"/>
          <w:sz w:val="32"/>
          <w:szCs w:val="32"/>
        </w:rPr>
        <w:t>2020年本部门无其他专项支出项目预算，故未制定项目绩效目标。</w:t>
      </w:r>
    </w:p>
    <w:p>
      <w:pPr>
        <w:widowControl/>
        <w:spacing w:line="560" w:lineRule="exact"/>
        <w:ind w:firstLine="643" w:firstLineChars="200"/>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color w:val="333333"/>
          <w:kern w:val="0"/>
          <w:sz w:val="32"/>
          <w:szCs w:val="32"/>
        </w:rPr>
        <w:t>（五）国有资本经营预算收支情况说明</w:t>
      </w:r>
    </w:p>
    <w:p>
      <w:pPr>
        <w:widowControl/>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2020年本部门无国有资本经营预算收支业务，因此没有相应的国有资本经营收支预算。</w:t>
      </w:r>
    </w:p>
    <w:p>
      <w:pPr>
        <w:tabs>
          <w:tab w:val="center" w:pos="4475"/>
        </w:tabs>
        <w:snapToGrid w:val="0"/>
        <w:spacing w:line="560" w:lineRule="exact"/>
        <w:ind w:firstLine="643" w:firstLineChars="200"/>
        <w:rPr>
          <w:rFonts w:ascii="仿宋_GB2312" w:hAnsi="Times New Roman" w:eastAsia="仿宋_GB2312" w:cs="Times New Roman"/>
          <w:color w:val="333333"/>
          <w:kern w:val="0"/>
          <w:sz w:val="32"/>
          <w:szCs w:val="32"/>
        </w:rPr>
      </w:pPr>
      <w:r>
        <w:rPr>
          <w:rFonts w:hint="eastAsia" w:ascii="黑体" w:hAnsi="仿宋" w:eastAsia="黑体" w:cs="宋体"/>
          <w:b/>
          <w:color w:val="333333"/>
          <w:kern w:val="0"/>
          <w:sz w:val="32"/>
          <w:szCs w:val="32"/>
        </w:rPr>
        <w:t>第四部分：专业名词解释</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2.事业收入：指事业单位开展专业业务活动及辅助活动所取得的收入。</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3.事业单位经营收入：指事业单位在专业业务活动及其辅助活动之外开展非独立核算经营活动取得的收入。</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4.其他收入：指除上述“财政拨款收入”、“事业收入”、“事业单位经营收入”等以外的收入。</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6.上年结转：指以前年度尚未完成、结转到本年仍按原规定用途继续使用的资金。</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7．基本支出：指为保障机构正常运转、完成日常工作任务而发生的人员经费和日常公用经费。</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8．项目支出：指在基本支出之外为完成特定行政任务和事业发展目标所发生的支出。</w:t>
      </w:r>
    </w:p>
    <w:p>
      <w:pPr>
        <w:widowControl/>
        <w:shd w:val="clear" w:color="auto" w:fill="FFFFFF"/>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9．事业单位经营支出：指事业单位在专业业务活动及其辅助活动之外开展非独立核算经营活动发生的支出。</w:t>
      </w:r>
    </w:p>
    <w:p>
      <w:pPr>
        <w:spacing w:line="560" w:lineRule="exact"/>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60" w:lineRule="exact"/>
        <w:ind w:firstLine="640" w:firstLineChars="200"/>
        <w:rPr>
          <w:rFonts w:ascii="宋体" w:hAnsi="宋体" w:eastAsia="宋体" w:cs="宋体"/>
          <w:color w:val="333333"/>
          <w:kern w:val="0"/>
          <w:szCs w:val="21"/>
        </w:rPr>
      </w:pPr>
      <w:r>
        <w:rPr>
          <w:rFonts w:hint="eastAsia" w:ascii="仿宋_GB2312" w:hAnsi="Times New Roman" w:eastAsia="仿宋_GB2312" w:cs="Times New Roman"/>
          <w:color w:val="333333"/>
          <w:kern w:val="0"/>
          <w:sz w:val="32"/>
          <w:szCs w:val="32"/>
        </w:rPr>
        <w:t>11．“三公”经费：纳入本级财政预决算管理的“三公”经费，是指各部门用财政拨款安排的因公出国（境）费、公务用车购置及运行费和公务接待费。其中，因公出国（境）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spacing w:line="560" w:lineRule="exact"/>
        <w:ind w:firstLine="420" w:firstLineChars="200"/>
      </w:pPr>
    </w:p>
    <w:p>
      <w:pPr>
        <w:widowControl/>
        <w:shd w:val="clear" w:color="auto" w:fill="FFFFFF"/>
        <w:spacing w:line="525" w:lineRule="atLeast"/>
        <w:ind w:right="-57" w:rightChars="-27"/>
        <w:rPr>
          <w:rFonts w:ascii="仿宋" w:hAnsi="仿宋" w:eastAsia="仿宋" w:cs="宋体"/>
          <w:b/>
          <w:bCs/>
          <w:color w:val="333333"/>
          <w:kern w:val="0"/>
          <w:sz w:val="32"/>
        </w:rPr>
      </w:pPr>
    </w:p>
    <w:p>
      <w:pPr>
        <w:widowControl/>
        <w:shd w:val="clear" w:color="auto" w:fill="FFFFFF"/>
        <w:spacing w:line="525" w:lineRule="atLeast"/>
        <w:ind w:right="-57" w:rightChars="-27"/>
        <w:rPr>
          <w:rFonts w:ascii="宋体" w:hAnsi="宋体" w:eastAsia="宋体" w:cs="宋体"/>
          <w:color w:val="333333"/>
          <w:kern w:val="0"/>
          <w:szCs w:val="21"/>
        </w:rPr>
      </w:pPr>
    </w:p>
    <w:p>
      <w:pPr>
        <w:widowControl/>
        <w:shd w:val="clear" w:color="auto" w:fill="FFFFFF"/>
        <w:spacing w:line="525" w:lineRule="atLeast"/>
        <w:ind w:right="-57" w:rightChars="-27"/>
        <w:rPr>
          <w:rFonts w:ascii="仿宋" w:hAnsi="仿宋" w:eastAsia="仿宋" w:cs="宋体"/>
          <w:color w:val="000000"/>
          <w:kern w:val="0"/>
          <w:sz w:val="32"/>
          <w:szCs w:val="32"/>
        </w:rPr>
      </w:pPr>
    </w:p>
    <w:p>
      <w:pPr>
        <w:widowControl/>
        <w:shd w:val="clear" w:color="auto" w:fill="FFFFFF"/>
        <w:spacing w:line="525" w:lineRule="atLeast"/>
        <w:ind w:right="-57" w:rightChars="-27"/>
        <w:rPr>
          <w:rFonts w:ascii="宋体" w:hAnsi="宋体" w:eastAsia="宋体" w:cs="宋体"/>
          <w:color w:val="333333"/>
          <w:kern w:val="0"/>
          <w:szCs w:val="21"/>
        </w:rPr>
      </w:pPr>
    </w:p>
    <w:p>
      <w:pPr>
        <w:ind w:right="-57" w:rightChars="-27"/>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9235"/>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7955"/>
    <w:multiLevelType w:val="multilevel"/>
    <w:tmpl w:val="2B72795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E3CD821"/>
    <w:multiLevelType w:val="singleLevel"/>
    <w:tmpl w:val="5E3CD8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DF2"/>
    <w:rsid w:val="0000037B"/>
    <w:rsid w:val="00004100"/>
    <w:rsid w:val="000072E3"/>
    <w:rsid w:val="0000774C"/>
    <w:rsid w:val="00012683"/>
    <w:rsid w:val="00014A37"/>
    <w:rsid w:val="00017502"/>
    <w:rsid w:val="000179F3"/>
    <w:rsid w:val="000257B4"/>
    <w:rsid w:val="000277A0"/>
    <w:rsid w:val="00027881"/>
    <w:rsid w:val="00031BDC"/>
    <w:rsid w:val="00033C76"/>
    <w:rsid w:val="00035279"/>
    <w:rsid w:val="00044740"/>
    <w:rsid w:val="00046CE9"/>
    <w:rsid w:val="000526E7"/>
    <w:rsid w:val="00052759"/>
    <w:rsid w:val="00053BD3"/>
    <w:rsid w:val="00055FBC"/>
    <w:rsid w:val="00057CFA"/>
    <w:rsid w:val="0006128F"/>
    <w:rsid w:val="0006257A"/>
    <w:rsid w:val="00063EEC"/>
    <w:rsid w:val="00070475"/>
    <w:rsid w:val="00080ACB"/>
    <w:rsid w:val="00082665"/>
    <w:rsid w:val="0008742E"/>
    <w:rsid w:val="00091C1B"/>
    <w:rsid w:val="000969A6"/>
    <w:rsid w:val="000A0DA8"/>
    <w:rsid w:val="000A0E3C"/>
    <w:rsid w:val="000A1B0C"/>
    <w:rsid w:val="000A4776"/>
    <w:rsid w:val="000A5DEB"/>
    <w:rsid w:val="000A68AB"/>
    <w:rsid w:val="000B127A"/>
    <w:rsid w:val="000B43EE"/>
    <w:rsid w:val="000C0714"/>
    <w:rsid w:val="000C0BC0"/>
    <w:rsid w:val="000C130E"/>
    <w:rsid w:val="000D6AA1"/>
    <w:rsid w:val="000E0497"/>
    <w:rsid w:val="000E57D9"/>
    <w:rsid w:val="000E580F"/>
    <w:rsid w:val="000F06E8"/>
    <w:rsid w:val="000F528A"/>
    <w:rsid w:val="00103AAE"/>
    <w:rsid w:val="00105B95"/>
    <w:rsid w:val="001061E6"/>
    <w:rsid w:val="00107131"/>
    <w:rsid w:val="00110AAC"/>
    <w:rsid w:val="00124474"/>
    <w:rsid w:val="00127961"/>
    <w:rsid w:val="00131173"/>
    <w:rsid w:val="00134700"/>
    <w:rsid w:val="00137514"/>
    <w:rsid w:val="001417A4"/>
    <w:rsid w:val="00141E83"/>
    <w:rsid w:val="001427B8"/>
    <w:rsid w:val="00143FC6"/>
    <w:rsid w:val="00144556"/>
    <w:rsid w:val="001456C7"/>
    <w:rsid w:val="0014618A"/>
    <w:rsid w:val="00146B06"/>
    <w:rsid w:val="00152220"/>
    <w:rsid w:val="00152E38"/>
    <w:rsid w:val="00154B5F"/>
    <w:rsid w:val="00160EEE"/>
    <w:rsid w:val="0016202D"/>
    <w:rsid w:val="001746C2"/>
    <w:rsid w:val="001747E8"/>
    <w:rsid w:val="0017608B"/>
    <w:rsid w:val="001776D1"/>
    <w:rsid w:val="00182B75"/>
    <w:rsid w:val="00190249"/>
    <w:rsid w:val="001932CF"/>
    <w:rsid w:val="00197575"/>
    <w:rsid w:val="001A035E"/>
    <w:rsid w:val="001A1112"/>
    <w:rsid w:val="001A1D5B"/>
    <w:rsid w:val="001A56B3"/>
    <w:rsid w:val="001C09A2"/>
    <w:rsid w:val="001C169B"/>
    <w:rsid w:val="001C2CB5"/>
    <w:rsid w:val="001D387B"/>
    <w:rsid w:val="001D6682"/>
    <w:rsid w:val="001D6FD8"/>
    <w:rsid w:val="001D759C"/>
    <w:rsid w:val="001D7A88"/>
    <w:rsid w:val="001E3A86"/>
    <w:rsid w:val="001E4CDE"/>
    <w:rsid w:val="001E7B6E"/>
    <w:rsid w:val="0020348D"/>
    <w:rsid w:val="0020359F"/>
    <w:rsid w:val="00206BB0"/>
    <w:rsid w:val="00215771"/>
    <w:rsid w:val="002221F5"/>
    <w:rsid w:val="00226600"/>
    <w:rsid w:val="002268DA"/>
    <w:rsid w:val="002369E7"/>
    <w:rsid w:val="0024246A"/>
    <w:rsid w:val="00246AAB"/>
    <w:rsid w:val="00246D27"/>
    <w:rsid w:val="0025280D"/>
    <w:rsid w:val="002573B9"/>
    <w:rsid w:val="0026093D"/>
    <w:rsid w:val="00262040"/>
    <w:rsid w:val="00265BBC"/>
    <w:rsid w:val="00267A09"/>
    <w:rsid w:val="00277B97"/>
    <w:rsid w:val="002801AC"/>
    <w:rsid w:val="00280281"/>
    <w:rsid w:val="00280936"/>
    <w:rsid w:val="00282DBE"/>
    <w:rsid w:val="002832E1"/>
    <w:rsid w:val="00290D24"/>
    <w:rsid w:val="002A0148"/>
    <w:rsid w:val="002A2FE6"/>
    <w:rsid w:val="002A3B92"/>
    <w:rsid w:val="002A43AC"/>
    <w:rsid w:val="002A5CE2"/>
    <w:rsid w:val="002A6947"/>
    <w:rsid w:val="002A71B0"/>
    <w:rsid w:val="002A7CF8"/>
    <w:rsid w:val="002B0913"/>
    <w:rsid w:val="002B1D1D"/>
    <w:rsid w:val="002B34A0"/>
    <w:rsid w:val="002B44EC"/>
    <w:rsid w:val="002B6412"/>
    <w:rsid w:val="002C3BAE"/>
    <w:rsid w:val="002C7998"/>
    <w:rsid w:val="002D28B2"/>
    <w:rsid w:val="002D5DE8"/>
    <w:rsid w:val="002D6315"/>
    <w:rsid w:val="002E2342"/>
    <w:rsid w:val="002E63E0"/>
    <w:rsid w:val="002F2DEF"/>
    <w:rsid w:val="003025C1"/>
    <w:rsid w:val="003043BA"/>
    <w:rsid w:val="00304E21"/>
    <w:rsid w:val="00310511"/>
    <w:rsid w:val="00315872"/>
    <w:rsid w:val="0032124F"/>
    <w:rsid w:val="0032254C"/>
    <w:rsid w:val="00327E70"/>
    <w:rsid w:val="00330CC7"/>
    <w:rsid w:val="003312B2"/>
    <w:rsid w:val="00332743"/>
    <w:rsid w:val="00334819"/>
    <w:rsid w:val="00334BFE"/>
    <w:rsid w:val="003359C7"/>
    <w:rsid w:val="003366A4"/>
    <w:rsid w:val="0034064B"/>
    <w:rsid w:val="00343ACF"/>
    <w:rsid w:val="00343C34"/>
    <w:rsid w:val="003441EF"/>
    <w:rsid w:val="00344540"/>
    <w:rsid w:val="00346807"/>
    <w:rsid w:val="00360B24"/>
    <w:rsid w:val="00360B46"/>
    <w:rsid w:val="003617E0"/>
    <w:rsid w:val="00363522"/>
    <w:rsid w:val="003645A4"/>
    <w:rsid w:val="00365D84"/>
    <w:rsid w:val="00366687"/>
    <w:rsid w:val="00366DF9"/>
    <w:rsid w:val="00367EBF"/>
    <w:rsid w:val="003763AE"/>
    <w:rsid w:val="00377342"/>
    <w:rsid w:val="00382D57"/>
    <w:rsid w:val="00386768"/>
    <w:rsid w:val="00390998"/>
    <w:rsid w:val="00392255"/>
    <w:rsid w:val="003959B5"/>
    <w:rsid w:val="003A0584"/>
    <w:rsid w:val="003A332B"/>
    <w:rsid w:val="003A436B"/>
    <w:rsid w:val="003A54A4"/>
    <w:rsid w:val="003B0800"/>
    <w:rsid w:val="003B1DC3"/>
    <w:rsid w:val="003B71A2"/>
    <w:rsid w:val="003C2582"/>
    <w:rsid w:val="003C2C63"/>
    <w:rsid w:val="003C3470"/>
    <w:rsid w:val="003C58AA"/>
    <w:rsid w:val="003D09FA"/>
    <w:rsid w:val="003D203C"/>
    <w:rsid w:val="003D31D5"/>
    <w:rsid w:val="003D39BE"/>
    <w:rsid w:val="003D39D5"/>
    <w:rsid w:val="003D5309"/>
    <w:rsid w:val="003D716C"/>
    <w:rsid w:val="003F21FE"/>
    <w:rsid w:val="003F299B"/>
    <w:rsid w:val="003F7B54"/>
    <w:rsid w:val="00405090"/>
    <w:rsid w:val="004102A4"/>
    <w:rsid w:val="00412313"/>
    <w:rsid w:val="004152D4"/>
    <w:rsid w:val="0041740D"/>
    <w:rsid w:val="004174C4"/>
    <w:rsid w:val="00425DD3"/>
    <w:rsid w:val="00427B24"/>
    <w:rsid w:val="004337E8"/>
    <w:rsid w:val="00437483"/>
    <w:rsid w:val="00442802"/>
    <w:rsid w:val="0044515A"/>
    <w:rsid w:val="0045069C"/>
    <w:rsid w:val="004548FC"/>
    <w:rsid w:val="00465D1D"/>
    <w:rsid w:val="00466E25"/>
    <w:rsid w:val="00470332"/>
    <w:rsid w:val="00471B01"/>
    <w:rsid w:val="00471DC5"/>
    <w:rsid w:val="00472F41"/>
    <w:rsid w:val="0047593D"/>
    <w:rsid w:val="0048043D"/>
    <w:rsid w:val="00484579"/>
    <w:rsid w:val="004850C9"/>
    <w:rsid w:val="00485FFB"/>
    <w:rsid w:val="00490993"/>
    <w:rsid w:val="00491F43"/>
    <w:rsid w:val="00493F7A"/>
    <w:rsid w:val="004A17EF"/>
    <w:rsid w:val="004A34D4"/>
    <w:rsid w:val="004A557D"/>
    <w:rsid w:val="004B01FD"/>
    <w:rsid w:val="004B41D8"/>
    <w:rsid w:val="004B6E71"/>
    <w:rsid w:val="004C0505"/>
    <w:rsid w:val="004C17BD"/>
    <w:rsid w:val="004C699C"/>
    <w:rsid w:val="004C7386"/>
    <w:rsid w:val="004D0D47"/>
    <w:rsid w:val="004D110E"/>
    <w:rsid w:val="004E1C5A"/>
    <w:rsid w:val="004E633B"/>
    <w:rsid w:val="004F0183"/>
    <w:rsid w:val="004F51A5"/>
    <w:rsid w:val="0050182D"/>
    <w:rsid w:val="00503651"/>
    <w:rsid w:val="00510B83"/>
    <w:rsid w:val="00520D9B"/>
    <w:rsid w:val="005239A0"/>
    <w:rsid w:val="005322A6"/>
    <w:rsid w:val="00533F28"/>
    <w:rsid w:val="00540F53"/>
    <w:rsid w:val="00542EF7"/>
    <w:rsid w:val="00544EC2"/>
    <w:rsid w:val="00556440"/>
    <w:rsid w:val="005604EE"/>
    <w:rsid w:val="005639A0"/>
    <w:rsid w:val="005703F9"/>
    <w:rsid w:val="0057225C"/>
    <w:rsid w:val="00573DC4"/>
    <w:rsid w:val="0057427A"/>
    <w:rsid w:val="00575CCB"/>
    <w:rsid w:val="00581C37"/>
    <w:rsid w:val="005848ED"/>
    <w:rsid w:val="0058551E"/>
    <w:rsid w:val="00590040"/>
    <w:rsid w:val="00591747"/>
    <w:rsid w:val="00591C9D"/>
    <w:rsid w:val="00592805"/>
    <w:rsid w:val="00593200"/>
    <w:rsid w:val="00596715"/>
    <w:rsid w:val="005A0AD2"/>
    <w:rsid w:val="005B1534"/>
    <w:rsid w:val="005B2486"/>
    <w:rsid w:val="005B2AB7"/>
    <w:rsid w:val="005B3068"/>
    <w:rsid w:val="005C0280"/>
    <w:rsid w:val="005C2DF2"/>
    <w:rsid w:val="005C327E"/>
    <w:rsid w:val="005C3565"/>
    <w:rsid w:val="005D3099"/>
    <w:rsid w:val="005D5FC2"/>
    <w:rsid w:val="005D6A0D"/>
    <w:rsid w:val="005E456E"/>
    <w:rsid w:val="005E484B"/>
    <w:rsid w:val="005E4AF8"/>
    <w:rsid w:val="0061062A"/>
    <w:rsid w:val="00610758"/>
    <w:rsid w:val="0061132F"/>
    <w:rsid w:val="00612488"/>
    <w:rsid w:val="00622814"/>
    <w:rsid w:val="00622DE9"/>
    <w:rsid w:val="00623736"/>
    <w:rsid w:val="00624DEE"/>
    <w:rsid w:val="006306EA"/>
    <w:rsid w:val="0063184C"/>
    <w:rsid w:val="00631EBF"/>
    <w:rsid w:val="006332CB"/>
    <w:rsid w:val="00643939"/>
    <w:rsid w:val="0064537A"/>
    <w:rsid w:val="00651451"/>
    <w:rsid w:val="006550A3"/>
    <w:rsid w:val="006565E2"/>
    <w:rsid w:val="00656DCA"/>
    <w:rsid w:val="00657DC3"/>
    <w:rsid w:val="006622EA"/>
    <w:rsid w:val="0066269F"/>
    <w:rsid w:val="006652AC"/>
    <w:rsid w:val="0066707E"/>
    <w:rsid w:val="00671D4D"/>
    <w:rsid w:val="00673489"/>
    <w:rsid w:val="006739DE"/>
    <w:rsid w:val="006775AA"/>
    <w:rsid w:val="006776D2"/>
    <w:rsid w:val="00685720"/>
    <w:rsid w:val="00685AD7"/>
    <w:rsid w:val="00685BB7"/>
    <w:rsid w:val="00685FEF"/>
    <w:rsid w:val="00690B26"/>
    <w:rsid w:val="0069166C"/>
    <w:rsid w:val="00692554"/>
    <w:rsid w:val="00695443"/>
    <w:rsid w:val="006A0810"/>
    <w:rsid w:val="006A689C"/>
    <w:rsid w:val="006C0799"/>
    <w:rsid w:val="006D583B"/>
    <w:rsid w:val="006D7A38"/>
    <w:rsid w:val="006E159E"/>
    <w:rsid w:val="006E1ACC"/>
    <w:rsid w:val="006E3FAC"/>
    <w:rsid w:val="006E551F"/>
    <w:rsid w:val="006E6E49"/>
    <w:rsid w:val="006F36CC"/>
    <w:rsid w:val="00701B66"/>
    <w:rsid w:val="007063A6"/>
    <w:rsid w:val="00707FF7"/>
    <w:rsid w:val="00712C3A"/>
    <w:rsid w:val="0072163A"/>
    <w:rsid w:val="00725C26"/>
    <w:rsid w:val="0073213C"/>
    <w:rsid w:val="007325D4"/>
    <w:rsid w:val="00747D85"/>
    <w:rsid w:val="007532D3"/>
    <w:rsid w:val="007562E7"/>
    <w:rsid w:val="00757ABE"/>
    <w:rsid w:val="0076494C"/>
    <w:rsid w:val="00774296"/>
    <w:rsid w:val="00776747"/>
    <w:rsid w:val="00780BBE"/>
    <w:rsid w:val="00783529"/>
    <w:rsid w:val="00785F08"/>
    <w:rsid w:val="00786319"/>
    <w:rsid w:val="00791C36"/>
    <w:rsid w:val="00792B7C"/>
    <w:rsid w:val="0079359F"/>
    <w:rsid w:val="00795E00"/>
    <w:rsid w:val="007961E4"/>
    <w:rsid w:val="007A024E"/>
    <w:rsid w:val="007A0766"/>
    <w:rsid w:val="007B1729"/>
    <w:rsid w:val="007B374B"/>
    <w:rsid w:val="007B6140"/>
    <w:rsid w:val="007B7518"/>
    <w:rsid w:val="007D179E"/>
    <w:rsid w:val="007D4BE4"/>
    <w:rsid w:val="007D50F6"/>
    <w:rsid w:val="007E4D91"/>
    <w:rsid w:val="007E7544"/>
    <w:rsid w:val="007F2DF0"/>
    <w:rsid w:val="007F2EDF"/>
    <w:rsid w:val="007F37EE"/>
    <w:rsid w:val="007F5792"/>
    <w:rsid w:val="007F5FD0"/>
    <w:rsid w:val="007F7187"/>
    <w:rsid w:val="007F73FC"/>
    <w:rsid w:val="008007DA"/>
    <w:rsid w:val="00803501"/>
    <w:rsid w:val="00804FC7"/>
    <w:rsid w:val="0080621A"/>
    <w:rsid w:val="00817493"/>
    <w:rsid w:val="00821FC4"/>
    <w:rsid w:val="00823FB2"/>
    <w:rsid w:val="00825A56"/>
    <w:rsid w:val="008347DB"/>
    <w:rsid w:val="0083689A"/>
    <w:rsid w:val="008438CD"/>
    <w:rsid w:val="008505CD"/>
    <w:rsid w:val="00851F27"/>
    <w:rsid w:val="00854ABD"/>
    <w:rsid w:val="00860F10"/>
    <w:rsid w:val="00866449"/>
    <w:rsid w:val="00870AA4"/>
    <w:rsid w:val="00870D3B"/>
    <w:rsid w:val="00875DE1"/>
    <w:rsid w:val="008832BE"/>
    <w:rsid w:val="008836CB"/>
    <w:rsid w:val="00894CB0"/>
    <w:rsid w:val="00897C94"/>
    <w:rsid w:val="008A17FC"/>
    <w:rsid w:val="008A1D64"/>
    <w:rsid w:val="008A1DD9"/>
    <w:rsid w:val="008A416B"/>
    <w:rsid w:val="008B1096"/>
    <w:rsid w:val="008B611D"/>
    <w:rsid w:val="008B7528"/>
    <w:rsid w:val="008C65F6"/>
    <w:rsid w:val="008C72F9"/>
    <w:rsid w:val="008D3CAF"/>
    <w:rsid w:val="008D3F13"/>
    <w:rsid w:val="008D6260"/>
    <w:rsid w:val="008E0270"/>
    <w:rsid w:val="008E7948"/>
    <w:rsid w:val="008F1356"/>
    <w:rsid w:val="008F3AC0"/>
    <w:rsid w:val="008F6AC0"/>
    <w:rsid w:val="008F7EF2"/>
    <w:rsid w:val="008F7F96"/>
    <w:rsid w:val="0090284B"/>
    <w:rsid w:val="00910B95"/>
    <w:rsid w:val="009150F4"/>
    <w:rsid w:val="00916ADE"/>
    <w:rsid w:val="00922667"/>
    <w:rsid w:val="009270C0"/>
    <w:rsid w:val="0093336D"/>
    <w:rsid w:val="00934756"/>
    <w:rsid w:val="00936AE0"/>
    <w:rsid w:val="00940B65"/>
    <w:rsid w:val="00953C58"/>
    <w:rsid w:val="00956A86"/>
    <w:rsid w:val="00964955"/>
    <w:rsid w:val="00966722"/>
    <w:rsid w:val="00971D47"/>
    <w:rsid w:val="0097437D"/>
    <w:rsid w:val="00976AF1"/>
    <w:rsid w:val="00977762"/>
    <w:rsid w:val="00981D08"/>
    <w:rsid w:val="0098337B"/>
    <w:rsid w:val="00993263"/>
    <w:rsid w:val="00995D38"/>
    <w:rsid w:val="00995FA9"/>
    <w:rsid w:val="009968D9"/>
    <w:rsid w:val="00997FE6"/>
    <w:rsid w:val="009A3F3C"/>
    <w:rsid w:val="009A7652"/>
    <w:rsid w:val="009A7EA7"/>
    <w:rsid w:val="009B211D"/>
    <w:rsid w:val="009B2292"/>
    <w:rsid w:val="009B2F5B"/>
    <w:rsid w:val="009B6ADF"/>
    <w:rsid w:val="009B7325"/>
    <w:rsid w:val="009C4581"/>
    <w:rsid w:val="009D2924"/>
    <w:rsid w:val="009D4A59"/>
    <w:rsid w:val="009E0685"/>
    <w:rsid w:val="009E1D88"/>
    <w:rsid w:val="009E27F4"/>
    <w:rsid w:val="009E2AEE"/>
    <w:rsid w:val="009F169D"/>
    <w:rsid w:val="009F2877"/>
    <w:rsid w:val="009F57CC"/>
    <w:rsid w:val="00A01FD2"/>
    <w:rsid w:val="00A036FA"/>
    <w:rsid w:val="00A039F3"/>
    <w:rsid w:val="00A0447F"/>
    <w:rsid w:val="00A04A0C"/>
    <w:rsid w:val="00A064AD"/>
    <w:rsid w:val="00A151BE"/>
    <w:rsid w:val="00A1543A"/>
    <w:rsid w:val="00A21867"/>
    <w:rsid w:val="00A24850"/>
    <w:rsid w:val="00A32962"/>
    <w:rsid w:val="00A3438A"/>
    <w:rsid w:val="00A35758"/>
    <w:rsid w:val="00A367F4"/>
    <w:rsid w:val="00A36CC8"/>
    <w:rsid w:val="00A37EBA"/>
    <w:rsid w:val="00A401DA"/>
    <w:rsid w:val="00A40BA5"/>
    <w:rsid w:val="00A43736"/>
    <w:rsid w:val="00A4392B"/>
    <w:rsid w:val="00A44ED2"/>
    <w:rsid w:val="00A470D8"/>
    <w:rsid w:val="00A51082"/>
    <w:rsid w:val="00A51AD0"/>
    <w:rsid w:val="00A8658F"/>
    <w:rsid w:val="00A9488A"/>
    <w:rsid w:val="00AA005F"/>
    <w:rsid w:val="00AA080F"/>
    <w:rsid w:val="00AA1C09"/>
    <w:rsid w:val="00AA4DD9"/>
    <w:rsid w:val="00AA4E2F"/>
    <w:rsid w:val="00AA51E5"/>
    <w:rsid w:val="00AA54A5"/>
    <w:rsid w:val="00AA6502"/>
    <w:rsid w:val="00AB22C2"/>
    <w:rsid w:val="00AB70DC"/>
    <w:rsid w:val="00AD0A85"/>
    <w:rsid w:val="00AE0F48"/>
    <w:rsid w:val="00AE21A6"/>
    <w:rsid w:val="00AE6FC0"/>
    <w:rsid w:val="00AF0FE0"/>
    <w:rsid w:val="00AF58F9"/>
    <w:rsid w:val="00B00508"/>
    <w:rsid w:val="00B02A0A"/>
    <w:rsid w:val="00B03113"/>
    <w:rsid w:val="00B05F75"/>
    <w:rsid w:val="00B07D00"/>
    <w:rsid w:val="00B20CAF"/>
    <w:rsid w:val="00B24DDC"/>
    <w:rsid w:val="00B26B50"/>
    <w:rsid w:val="00B32344"/>
    <w:rsid w:val="00B35CE2"/>
    <w:rsid w:val="00B41737"/>
    <w:rsid w:val="00B445D6"/>
    <w:rsid w:val="00B448DB"/>
    <w:rsid w:val="00B47062"/>
    <w:rsid w:val="00B53460"/>
    <w:rsid w:val="00B55103"/>
    <w:rsid w:val="00B55506"/>
    <w:rsid w:val="00B60B9F"/>
    <w:rsid w:val="00B61B70"/>
    <w:rsid w:val="00B640C6"/>
    <w:rsid w:val="00B66C17"/>
    <w:rsid w:val="00B67C05"/>
    <w:rsid w:val="00B70970"/>
    <w:rsid w:val="00B80410"/>
    <w:rsid w:val="00B816A7"/>
    <w:rsid w:val="00B85392"/>
    <w:rsid w:val="00B95467"/>
    <w:rsid w:val="00B967E9"/>
    <w:rsid w:val="00BA0C59"/>
    <w:rsid w:val="00BA16A4"/>
    <w:rsid w:val="00BA19CB"/>
    <w:rsid w:val="00BA2C1F"/>
    <w:rsid w:val="00BA7236"/>
    <w:rsid w:val="00BA7D96"/>
    <w:rsid w:val="00BB12FA"/>
    <w:rsid w:val="00BB28A0"/>
    <w:rsid w:val="00BB38F2"/>
    <w:rsid w:val="00BB4532"/>
    <w:rsid w:val="00BB7C8F"/>
    <w:rsid w:val="00BC03CD"/>
    <w:rsid w:val="00BC395D"/>
    <w:rsid w:val="00BC4714"/>
    <w:rsid w:val="00BC4FFD"/>
    <w:rsid w:val="00BC7EE7"/>
    <w:rsid w:val="00BD2B2D"/>
    <w:rsid w:val="00BD301B"/>
    <w:rsid w:val="00BD64A9"/>
    <w:rsid w:val="00BD6549"/>
    <w:rsid w:val="00BE2C37"/>
    <w:rsid w:val="00BE3A41"/>
    <w:rsid w:val="00BF16A8"/>
    <w:rsid w:val="00C21905"/>
    <w:rsid w:val="00C279F2"/>
    <w:rsid w:val="00C30C5F"/>
    <w:rsid w:val="00C31994"/>
    <w:rsid w:val="00C3203B"/>
    <w:rsid w:val="00C37916"/>
    <w:rsid w:val="00C41398"/>
    <w:rsid w:val="00C44774"/>
    <w:rsid w:val="00C44F9A"/>
    <w:rsid w:val="00C46FDC"/>
    <w:rsid w:val="00C4744B"/>
    <w:rsid w:val="00C55956"/>
    <w:rsid w:val="00C61941"/>
    <w:rsid w:val="00C62462"/>
    <w:rsid w:val="00C630D9"/>
    <w:rsid w:val="00C6535F"/>
    <w:rsid w:val="00C67561"/>
    <w:rsid w:val="00C71FAD"/>
    <w:rsid w:val="00C76532"/>
    <w:rsid w:val="00C778FA"/>
    <w:rsid w:val="00C83D23"/>
    <w:rsid w:val="00C85ADE"/>
    <w:rsid w:val="00C918F1"/>
    <w:rsid w:val="00C94930"/>
    <w:rsid w:val="00CA2873"/>
    <w:rsid w:val="00CA6D46"/>
    <w:rsid w:val="00CB64B4"/>
    <w:rsid w:val="00CB6C61"/>
    <w:rsid w:val="00CB742D"/>
    <w:rsid w:val="00CC09FA"/>
    <w:rsid w:val="00CC20E9"/>
    <w:rsid w:val="00CC2D1E"/>
    <w:rsid w:val="00CC68D0"/>
    <w:rsid w:val="00CD3403"/>
    <w:rsid w:val="00CD4A1B"/>
    <w:rsid w:val="00CE16EE"/>
    <w:rsid w:val="00CE389C"/>
    <w:rsid w:val="00CE694A"/>
    <w:rsid w:val="00CE72A1"/>
    <w:rsid w:val="00CE7F56"/>
    <w:rsid w:val="00CF64C5"/>
    <w:rsid w:val="00CF7AD3"/>
    <w:rsid w:val="00D03F26"/>
    <w:rsid w:val="00D048C6"/>
    <w:rsid w:val="00D04E3D"/>
    <w:rsid w:val="00D0697D"/>
    <w:rsid w:val="00D07757"/>
    <w:rsid w:val="00D10A2F"/>
    <w:rsid w:val="00D12AEB"/>
    <w:rsid w:val="00D160E0"/>
    <w:rsid w:val="00D17D7D"/>
    <w:rsid w:val="00D2296C"/>
    <w:rsid w:val="00D26F73"/>
    <w:rsid w:val="00D40785"/>
    <w:rsid w:val="00D43322"/>
    <w:rsid w:val="00D440F7"/>
    <w:rsid w:val="00D44187"/>
    <w:rsid w:val="00D44DD6"/>
    <w:rsid w:val="00D52571"/>
    <w:rsid w:val="00D64C02"/>
    <w:rsid w:val="00D67C61"/>
    <w:rsid w:val="00D70AB4"/>
    <w:rsid w:val="00D729A7"/>
    <w:rsid w:val="00D769BB"/>
    <w:rsid w:val="00D77FE9"/>
    <w:rsid w:val="00D829B9"/>
    <w:rsid w:val="00D83D70"/>
    <w:rsid w:val="00D843D5"/>
    <w:rsid w:val="00D86359"/>
    <w:rsid w:val="00D92681"/>
    <w:rsid w:val="00D92EBC"/>
    <w:rsid w:val="00D93A7B"/>
    <w:rsid w:val="00D93B2B"/>
    <w:rsid w:val="00D93EBE"/>
    <w:rsid w:val="00D949D9"/>
    <w:rsid w:val="00D9658D"/>
    <w:rsid w:val="00D972A2"/>
    <w:rsid w:val="00DA24BA"/>
    <w:rsid w:val="00DA407A"/>
    <w:rsid w:val="00DA5DDC"/>
    <w:rsid w:val="00DB016F"/>
    <w:rsid w:val="00DB21BA"/>
    <w:rsid w:val="00DB4F24"/>
    <w:rsid w:val="00DC15B8"/>
    <w:rsid w:val="00DC62E2"/>
    <w:rsid w:val="00DC75B7"/>
    <w:rsid w:val="00DD0933"/>
    <w:rsid w:val="00DD4794"/>
    <w:rsid w:val="00DD5BED"/>
    <w:rsid w:val="00DD7251"/>
    <w:rsid w:val="00DE02AB"/>
    <w:rsid w:val="00DE24B5"/>
    <w:rsid w:val="00DE37F0"/>
    <w:rsid w:val="00DE3A01"/>
    <w:rsid w:val="00DE51CA"/>
    <w:rsid w:val="00DF6D75"/>
    <w:rsid w:val="00DF6FAC"/>
    <w:rsid w:val="00E0096C"/>
    <w:rsid w:val="00E0567B"/>
    <w:rsid w:val="00E06F8C"/>
    <w:rsid w:val="00E071D4"/>
    <w:rsid w:val="00E07A12"/>
    <w:rsid w:val="00E10877"/>
    <w:rsid w:val="00E1209A"/>
    <w:rsid w:val="00E12764"/>
    <w:rsid w:val="00E216A3"/>
    <w:rsid w:val="00E2232B"/>
    <w:rsid w:val="00E41698"/>
    <w:rsid w:val="00E520E8"/>
    <w:rsid w:val="00E52BD5"/>
    <w:rsid w:val="00E536AB"/>
    <w:rsid w:val="00E54514"/>
    <w:rsid w:val="00E5491A"/>
    <w:rsid w:val="00E573E2"/>
    <w:rsid w:val="00E602C2"/>
    <w:rsid w:val="00E70D05"/>
    <w:rsid w:val="00E72BEE"/>
    <w:rsid w:val="00E87F9B"/>
    <w:rsid w:val="00E95467"/>
    <w:rsid w:val="00EA23C9"/>
    <w:rsid w:val="00EA5BE3"/>
    <w:rsid w:val="00EB0FBB"/>
    <w:rsid w:val="00EC72B7"/>
    <w:rsid w:val="00EE0C02"/>
    <w:rsid w:val="00EE1AE3"/>
    <w:rsid w:val="00EF178E"/>
    <w:rsid w:val="00EF2915"/>
    <w:rsid w:val="00EF705C"/>
    <w:rsid w:val="00EF7A6A"/>
    <w:rsid w:val="00F078A8"/>
    <w:rsid w:val="00F10C9E"/>
    <w:rsid w:val="00F10F8F"/>
    <w:rsid w:val="00F22172"/>
    <w:rsid w:val="00F23620"/>
    <w:rsid w:val="00F26A64"/>
    <w:rsid w:val="00F316D6"/>
    <w:rsid w:val="00F332BE"/>
    <w:rsid w:val="00F33E44"/>
    <w:rsid w:val="00F43131"/>
    <w:rsid w:val="00F43486"/>
    <w:rsid w:val="00F44C6C"/>
    <w:rsid w:val="00F50DB6"/>
    <w:rsid w:val="00F51059"/>
    <w:rsid w:val="00F53B29"/>
    <w:rsid w:val="00F60BDC"/>
    <w:rsid w:val="00F6737E"/>
    <w:rsid w:val="00F7673E"/>
    <w:rsid w:val="00F77644"/>
    <w:rsid w:val="00F8024E"/>
    <w:rsid w:val="00F81497"/>
    <w:rsid w:val="00F93264"/>
    <w:rsid w:val="00F93B80"/>
    <w:rsid w:val="00F94E0D"/>
    <w:rsid w:val="00F957BF"/>
    <w:rsid w:val="00F96E1E"/>
    <w:rsid w:val="00FA04E5"/>
    <w:rsid w:val="00FA12B7"/>
    <w:rsid w:val="00FA2118"/>
    <w:rsid w:val="00FA52DC"/>
    <w:rsid w:val="00FA6651"/>
    <w:rsid w:val="00FB2791"/>
    <w:rsid w:val="00FC4936"/>
    <w:rsid w:val="00FD656F"/>
    <w:rsid w:val="00FD7A80"/>
    <w:rsid w:val="00FD7C5F"/>
    <w:rsid w:val="00FD7E51"/>
    <w:rsid w:val="00FE0BDD"/>
    <w:rsid w:val="00FE18B6"/>
    <w:rsid w:val="00FE31C2"/>
    <w:rsid w:val="00FF3BE3"/>
    <w:rsid w:val="00FF773D"/>
    <w:rsid w:val="0B1A5BEF"/>
    <w:rsid w:val="139B728C"/>
    <w:rsid w:val="1AC8180B"/>
    <w:rsid w:val="242556A5"/>
    <w:rsid w:val="26C03CD5"/>
    <w:rsid w:val="2A2A4B12"/>
    <w:rsid w:val="3642279C"/>
    <w:rsid w:val="489D7D10"/>
    <w:rsid w:val="62530FAB"/>
    <w:rsid w:val="751352A1"/>
    <w:rsid w:val="7F76420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List Paragraph"/>
    <w:basedOn w:val="1"/>
    <w:qFormat/>
    <w:uiPriority w:val="34"/>
    <w:pPr>
      <w:ind w:firstLine="420" w:firstLineChars="200"/>
    </w:pPr>
  </w:style>
  <w:style w:type="character" w:customStyle="1" w:styleId="9">
    <w:name w:val="批注框文本 Char"/>
    <w:basedOn w:val="5"/>
    <w:link w:val="2"/>
    <w:semiHidden/>
    <w:uiPriority w:val="99"/>
    <w:rPr>
      <w:sz w:val="18"/>
      <w:szCs w:val="18"/>
    </w:r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 w:type="paragraph" w:customStyle="1" w:styleId="12">
    <w:name w:val="Char Char Char Char Char Char Char"/>
    <w:basedOn w:val="1"/>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1F338-CEDB-458B-B43C-AA8A253D57DE}">
  <ds:schemaRefs/>
</ds:datastoreItem>
</file>

<file path=docProps/app.xml><?xml version="1.0" encoding="utf-8"?>
<Properties xmlns="http://schemas.openxmlformats.org/officeDocument/2006/extended-properties" xmlns:vt="http://schemas.openxmlformats.org/officeDocument/2006/docPropsVTypes">
  <Template>Normal</Template>
  <Pages>16</Pages>
  <Words>1103</Words>
  <Characters>6291</Characters>
  <Lines>52</Lines>
  <Paragraphs>14</Paragraphs>
  <TotalTime>0</TotalTime>
  <ScaleCrop>false</ScaleCrop>
  <LinksUpToDate>false</LinksUpToDate>
  <CharactersWithSpaces>7380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2019-03-11T04:53:00Z</dcterms:created>
  <dc:creator>欧阳玉</dc:creator>
  <cp:lastModifiedBy>w7</cp:lastModifiedBy>
  <cp:lastPrinted>2019-03-13T04:54:00Z</cp:lastPrinted>
  <dcterms:modified xsi:type="dcterms:W3CDTF">2020-02-07T03:52:28Z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